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1219" w:rsidRPr="00D23996" w:rsidRDefault="00891219">
      <w:pPr>
        <w:rPr>
          <w:lang w:val="bg-BG"/>
        </w:rPr>
      </w:pPr>
    </w:p>
    <w:p w:rsidR="0007007E" w:rsidRPr="00D23996" w:rsidRDefault="00295831" w:rsidP="007378C2">
      <w:pPr>
        <w:jc w:val="right"/>
        <w:rPr>
          <w:rFonts w:ascii="Trebuchet MS" w:hAnsi="Trebuchet MS"/>
          <w:b/>
          <w:lang w:val="bg-BG"/>
        </w:rPr>
      </w:pPr>
      <w:r w:rsidRPr="00D23996">
        <w:rPr>
          <w:rFonts w:ascii="Trebuchet MS" w:hAnsi="Trebuchet MS"/>
          <w:b/>
          <w:lang w:val="bg-BG"/>
        </w:rPr>
        <w:t>Приложение 1</w:t>
      </w:r>
    </w:p>
    <w:p w:rsidR="00D23996" w:rsidRPr="00E27162" w:rsidRDefault="00E27162" w:rsidP="007378C2">
      <w:pPr>
        <w:jc w:val="right"/>
        <w:rPr>
          <w:rFonts w:ascii="Trebuchet MS" w:hAnsi="Trebuchet MS"/>
          <w:b/>
          <w:i/>
          <w:sz w:val="22"/>
          <w:lang w:val="bg-BG"/>
        </w:rPr>
      </w:pPr>
      <w:r w:rsidRPr="00E27162">
        <w:rPr>
          <w:rFonts w:ascii="Trebuchet MS" w:hAnsi="Trebuchet MS"/>
          <w:b/>
          <w:i/>
          <w:sz w:val="22"/>
          <w:lang w:val="bg-BG"/>
        </w:rPr>
        <w:t>Превод от английски език</w:t>
      </w:r>
    </w:p>
    <w:p w:rsidR="000A4F5F" w:rsidRPr="00D23996" w:rsidRDefault="003A4226" w:rsidP="0064002E">
      <w:pPr>
        <w:pStyle w:val="Heading1"/>
        <w:keepLines w:val="0"/>
        <w:spacing w:before="0" w:after="120" w:line="240" w:lineRule="auto"/>
        <w:ind w:left="357"/>
        <w:jc w:val="center"/>
        <w:rPr>
          <w:rFonts w:ascii="Trebuchet MS" w:eastAsia="SimSun" w:hAnsi="Trebuchet MS" w:cs="Cambria"/>
          <w:b/>
          <w:caps/>
          <w:color w:val="44546A" w:themeColor="text2"/>
          <w:sz w:val="28"/>
          <w:szCs w:val="28"/>
          <w:lang w:val="bg-BG" w:eastAsia="en-US"/>
        </w:rPr>
      </w:pPr>
      <w:r w:rsidRPr="00D23996">
        <w:rPr>
          <w:rFonts w:ascii="Trebuchet MS" w:eastAsia="SimSun" w:hAnsi="Trebuchet MS" w:cs="Cambria"/>
          <w:b/>
          <w:caps/>
          <w:color w:val="44546A" w:themeColor="text2"/>
          <w:sz w:val="28"/>
          <w:szCs w:val="28"/>
          <w:lang w:val="bg-BG" w:eastAsia="en-US"/>
        </w:rPr>
        <w:t>Програма Interreg VI-A Румъния-България</w:t>
      </w:r>
    </w:p>
    <w:p w:rsidR="003A4226" w:rsidRPr="00D23996" w:rsidRDefault="003A4226" w:rsidP="0064002E">
      <w:pPr>
        <w:pStyle w:val="Heading1"/>
        <w:keepLines w:val="0"/>
        <w:spacing w:before="0" w:after="120" w:line="240" w:lineRule="auto"/>
        <w:ind w:left="357"/>
        <w:jc w:val="center"/>
        <w:rPr>
          <w:rFonts w:ascii="Trebuchet MS" w:eastAsia="SimSun" w:hAnsi="Trebuchet MS" w:cs="Cambria"/>
          <w:b/>
          <w:caps/>
          <w:color w:val="44546A" w:themeColor="text2"/>
          <w:sz w:val="28"/>
          <w:szCs w:val="28"/>
          <w:lang w:val="bg-BG" w:eastAsia="en-US"/>
        </w:rPr>
      </w:pPr>
      <w:r w:rsidRPr="00D23996">
        <w:rPr>
          <w:rFonts w:ascii="Trebuchet MS" w:eastAsia="SimSun" w:hAnsi="Trebuchet MS" w:cs="Cambria"/>
          <w:b/>
          <w:caps/>
          <w:color w:val="44546A" w:themeColor="text2"/>
          <w:sz w:val="28"/>
          <w:szCs w:val="28"/>
          <w:lang w:val="bg-BG" w:eastAsia="en-US"/>
        </w:rPr>
        <w:t>Процедура по СЕО и</w:t>
      </w:r>
      <w:r w:rsidR="00D23996" w:rsidRPr="00D23996">
        <w:rPr>
          <w:rFonts w:ascii="Trebuchet MS" w:eastAsia="SimSun" w:hAnsi="Trebuchet MS" w:cs="Cambria"/>
          <w:b/>
          <w:caps/>
          <w:color w:val="44546A" w:themeColor="text2"/>
          <w:sz w:val="28"/>
          <w:szCs w:val="28"/>
          <w:lang w:val="bg-BG" w:eastAsia="en-US"/>
        </w:rPr>
        <w:t xml:space="preserve"> ПРОЦЕС на консултиране</w:t>
      </w:r>
      <w:r w:rsidRPr="00D23996">
        <w:rPr>
          <w:rFonts w:ascii="Trebuchet MS" w:eastAsia="SimSun" w:hAnsi="Trebuchet MS" w:cs="Cambria"/>
          <w:b/>
          <w:caps/>
          <w:color w:val="44546A" w:themeColor="text2"/>
          <w:sz w:val="28"/>
          <w:szCs w:val="28"/>
          <w:lang w:val="bg-BG" w:eastAsia="en-US"/>
        </w:rPr>
        <w:t xml:space="preserve"> В Румъния</w:t>
      </w:r>
    </w:p>
    <w:p w:rsidR="00AE2957" w:rsidRPr="00D23996" w:rsidRDefault="00AE2957" w:rsidP="00857E6D">
      <w:pPr>
        <w:jc w:val="center"/>
        <w:rPr>
          <w:rFonts w:ascii="Trebuchet MS" w:hAnsi="Trebuchet MS"/>
          <w:b/>
          <w:sz w:val="22"/>
          <w:szCs w:val="22"/>
          <w:lang w:val="bg-BG"/>
        </w:rPr>
      </w:pPr>
    </w:p>
    <w:p w:rsidR="00AE2957" w:rsidRPr="00D23996" w:rsidRDefault="00560D8D" w:rsidP="00F86612">
      <w:pPr>
        <w:pStyle w:val="v2"/>
        <w:tabs>
          <w:tab w:val="clear" w:pos="720"/>
        </w:tabs>
        <w:ind w:firstLine="0"/>
        <w:rPr>
          <w:rFonts w:ascii="Trebuchet MS" w:hAnsi="Trebuchet MS"/>
          <w:b/>
          <w:bCs/>
          <w:lang w:val="bg-BG" w:eastAsia="ar-SA"/>
        </w:rPr>
      </w:pPr>
      <w:r w:rsidRPr="00D23996">
        <w:rPr>
          <w:rFonts w:ascii="Trebuchet MS" w:hAnsi="Trebuchet MS"/>
          <w:b/>
          <w:bCs/>
          <w:lang w:val="bg-BG" w:eastAsia="ar-SA"/>
        </w:rPr>
        <w:t>Въведение</w:t>
      </w:r>
    </w:p>
    <w:p w:rsidR="009E0C1B" w:rsidRPr="00D23996" w:rsidRDefault="00B155AB" w:rsidP="00B155AB">
      <w:pPr>
        <w:rPr>
          <w:rFonts w:ascii="Trebuchet MS" w:hAnsi="Trebuchet MS"/>
          <w:sz w:val="22"/>
          <w:szCs w:val="22"/>
          <w:lang w:val="bg-BG"/>
        </w:rPr>
      </w:pPr>
      <w:r w:rsidRPr="00D23996">
        <w:rPr>
          <w:rFonts w:ascii="Trebuchet MS" w:hAnsi="Trebuchet MS"/>
          <w:sz w:val="22"/>
          <w:szCs w:val="22"/>
          <w:lang w:val="bg-BG"/>
        </w:rPr>
        <w:t xml:space="preserve">Екологичната оценка е в пълно съответствие с разпоредбите на Решение № 1076 на румънското правителство от 8 юли 2004 г. за установяване на процедура за разработване на екологична оценка за планове и програми, транспониращо Директива 2001/42/ЕО относно оценката на въздействието върху околната среда на </w:t>
      </w:r>
      <w:r w:rsidR="00D23996" w:rsidRPr="00D23996">
        <w:rPr>
          <w:rFonts w:ascii="Trebuchet MS" w:hAnsi="Trebuchet MS"/>
          <w:sz w:val="22"/>
          <w:szCs w:val="22"/>
          <w:lang w:val="bg-BG"/>
        </w:rPr>
        <w:t>определени</w:t>
      </w:r>
      <w:r w:rsidRPr="00D23996">
        <w:rPr>
          <w:rFonts w:ascii="Trebuchet MS" w:hAnsi="Trebuchet MS"/>
          <w:sz w:val="22"/>
          <w:szCs w:val="22"/>
          <w:lang w:val="bg-BG"/>
        </w:rPr>
        <w:t xml:space="preserve"> планове и програми (</w:t>
      </w:r>
      <w:r w:rsidR="00D23996" w:rsidRPr="00D23996">
        <w:rPr>
          <w:rFonts w:ascii="Trebuchet MS" w:hAnsi="Trebuchet MS"/>
          <w:sz w:val="22"/>
          <w:szCs w:val="22"/>
          <w:lang w:val="bg-BG"/>
        </w:rPr>
        <w:t>СЕО</w:t>
      </w:r>
      <w:r w:rsidRPr="00D23996">
        <w:rPr>
          <w:rFonts w:ascii="Trebuchet MS" w:hAnsi="Trebuchet MS"/>
          <w:sz w:val="22"/>
          <w:szCs w:val="22"/>
          <w:lang w:val="bg-BG"/>
        </w:rPr>
        <w:t>) и вз</w:t>
      </w:r>
      <w:r w:rsidR="00D23996" w:rsidRPr="00D23996">
        <w:rPr>
          <w:rFonts w:ascii="Trebuchet MS" w:hAnsi="Trebuchet MS"/>
          <w:sz w:val="22"/>
          <w:szCs w:val="22"/>
          <w:lang w:val="bg-BG"/>
        </w:rPr>
        <w:t>има</w:t>
      </w:r>
      <w:r w:rsidRPr="00D23996">
        <w:rPr>
          <w:rFonts w:ascii="Trebuchet MS" w:hAnsi="Trebuchet MS"/>
          <w:sz w:val="22"/>
          <w:szCs w:val="22"/>
          <w:lang w:val="bg-BG"/>
        </w:rPr>
        <w:t xml:space="preserve"> предвид съответните насоки и методически наръчници, налични на европейско и национално ниво.</w:t>
      </w:r>
    </w:p>
    <w:p w:rsidR="00B155AB" w:rsidRPr="00D23996" w:rsidRDefault="00D23996" w:rsidP="00B155AB">
      <w:pPr>
        <w:rPr>
          <w:rFonts w:ascii="Trebuchet MS" w:hAnsi="Trebuchet MS"/>
          <w:sz w:val="22"/>
          <w:szCs w:val="22"/>
          <w:lang w:val="bg-BG"/>
        </w:rPr>
      </w:pPr>
      <w:r w:rsidRPr="00D23996">
        <w:rPr>
          <w:rFonts w:ascii="Trebuchet MS" w:hAnsi="Trebuchet MS"/>
          <w:sz w:val="22"/>
          <w:szCs w:val="22"/>
          <w:lang w:val="bg-BG"/>
        </w:rPr>
        <w:t>Декларацията по Член 9, параграф 1-б</w:t>
      </w:r>
      <w:r w:rsidR="00B155AB" w:rsidRPr="00D23996">
        <w:rPr>
          <w:rFonts w:ascii="Trebuchet MS" w:hAnsi="Trebuchet MS"/>
          <w:sz w:val="22"/>
          <w:szCs w:val="22"/>
          <w:vertAlign w:val="superscript"/>
          <w:lang w:val="bg-BG"/>
        </w:rPr>
        <w:footnoteReference w:id="1"/>
      </w:r>
      <w:r w:rsidRPr="00D23996">
        <w:rPr>
          <w:rFonts w:ascii="Trebuchet MS" w:hAnsi="Trebuchet MS"/>
          <w:sz w:val="22"/>
          <w:szCs w:val="22"/>
          <w:lang w:val="bg-BG"/>
        </w:rPr>
        <w:t xml:space="preserve"> </w:t>
      </w:r>
      <w:r w:rsidR="00B155AB" w:rsidRPr="00D23996">
        <w:rPr>
          <w:rFonts w:ascii="Trebuchet MS" w:hAnsi="Trebuchet MS"/>
          <w:sz w:val="22"/>
          <w:szCs w:val="22"/>
          <w:lang w:val="bg-BG"/>
        </w:rPr>
        <w:t>е изготвен</w:t>
      </w:r>
      <w:r w:rsidRPr="00D23996">
        <w:rPr>
          <w:rFonts w:ascii="Trebuchet MS" w:hAnsi="Trebuchet MS"/>
          <w:sz w:val="22"/>
          <w:szCs w:val="22"/>
          <w:lang w:val="bg-BG"/>
        </w:rPr>
        <w:t>а</w:t>
      </w:r>
      <w:r w:rsidR="00B155AB" w:rsidRPr="00D23996">
        <w:rPr>
          <w:rFonts w:ascii="Trebuchet MS" w:hAnsi="Trebuchet MS"/>
          <w:sz w:val="22"/>
          <w:szCs w:val="22"/>
          <w:lang w:val="bg-BG"/>
        </w:rPr>
        <w:t xml:space="preserve"> съвместно от Управляващия орган на програмата (Министерството на развитието, благоустройството и администрацията на Румъния) и Националния орган (Министерството на регионалното развитие и благоустройството на България).</w:t>
      </w:r>
    </w:p>
    <w:p w:rsidR="00AA6F72" w:rsidRPr="00D23996" w:rsidRDefault="00AA6F72" w:rsidP="00B155AB">
      <w:pPr>
        <w:rPr>
          <w:rFonts w:ascii="Trebuchet MS" w:hAnsi="Trebuchet MS"/>
          <w:sz w:val="22"/>
          <w:szCs w:val="22"/>
          <w:lang w:val="bg-BG"/>
        </w:rPr>
      </w:pPr>
      <w:r w:rsidRPr="00D23996">
        <w:rPr>
          <w:rFonts w:ascii="Trebuchet MS" w:hAnsi="Trebuchet MS"/>
          <w:sz w:val="22"/>
          <w:szCs w:val="22"/>
          <w:lang w:val="bg-BG"/>
        </w:rPr>
        <w:t>Стратегическата екологична оценка на Програмата Interreg VI-A Румъния-България включваше процедурните стъпки и последователности, предвидени в действащото национално законодателство, включително консултация с обществеността, с органи и с други органи</w:t>
      </w:r>
      <w:r w:rsidR="00D23996">
        <w:rPr>
          <w:rFonts w:ascii="Trebuchet MS" w:hAnsi="Trebuchet MS"/>
          <w:sz w:val="22"/>
          <w:szCs w:val="22"/>
          <w:lang w:val="bg-BG"/>
        </w:rPr>
        <w:t>те по околна среда и здравеопазване</w:t>
      </w:r>
      <w:r w:rsidRPr="00D23996">
        <w:rPr>
          <w:rFonts w:ascii="Trebuchet MS" w:hAnsi="Trebuchet MS"/>
          <w:sz w:val="22"/>
          <w:szCs w:val="22"/>
          <w:lang w:val="bg-BG"/>
        </w:rPr>
        <w:t>,</w:t>
      </w:r>
      <w:r w:rsidR="00D23996">
        <w:rPr>
          <w:rFonts w:ascii="Trebuchet MS" w:hAnsi="Trebuchet MS"/>
          <w:sz w:val="22"/>
          <w:szCs w:val="22"/>
          <w:lang w:val="bg-BG"/>
        </w:rPr>
        <w:t xml:space="preserve"> и с други органи,</w:t>
      </w:r>
      <w:r w:rsidRPr="00D23996">
        <w:rPr>
          <w:rFonts w:ascii="Trebuchet MS" w:hAnsi="Trebuchet MS"/>
          <w:sz w:val="22"/>
          <w:szCs w:val="22"/>
          <w:lang w:val="bg-BG"/>
        </w:rPr>
        <w:t xml:space="preserve"> заинтересовани от изпълнението на Програмата, с конкретни подробности </w:t>
      </w:r>
      <w:r w:rsidR="00D23996">
        <w:rPr>
          <w:rFonts w:ascii="Trebuchet MS" w:hAnsi="Trebuchet MS"/>
          <w:sz w:val="22"/>
          <w:szCs w:val="22"/>
          <w:lang w:val="bg-BG"/>
        </w:rPr>
        <w:t>по</w:t>
      </w:r>
      <w:r w:rsidRPr="00D23996">
        <w:rPr>
          <w:rFonts w:ascii="Trebuchet MS" w:hAnsi="Trebuchet MS"/>
          <w:sz w:val="22"/>
          <w:szCs w:val="22"/>
          <w:lang w:val="bg-BG"/>
        </w:rPr>
        <w:t xml:space="preserve"> развитието, </w:t>
      </w:r>
      <w:r w:rsidR="00D23996">
        <w:rPr>
          <w:rFonts w:ascii="Trebuchet MS" w:hAnsi="Trebuchet MS"/>
          <w:sz w:val="22"/>
          <w:szCs w:val="22"/>
          <w:lang w:val="bg-BG"/>
        </w:rPr>
        <w:t>описани по-долу.</w:t>
      </w:r>
    </w:p>
    <w:p w:rsidR="00B155AB" w:rsidRPr="00D23996" w:rsidRDefault="00B155AB" w:rsidP="00B155AB">
      <w:pPr>
        <w:spacing w:line="360" w:lineRule="auto"/>
        <w:rPr>
          <w:rFonts w:ascii="Trebuchet MS" w:hAnsi="Trebuchet MS"/>
          <w:sz w:val="22"/>
          <w:szCs w:val="22"/>
          <w:lang w:val="bg-BG"/>
        </w:rPr>
      </w:pPr>
    </w:p>
    <w:p w:rsidR="00F55498" w:rsidRPr="00D23996" w:rsidRDefault="00D23996" w:rsidP="005C4DCC">
      <w:pPr>
        <w:pStyle w:val="v2"/>
        <w:numPr>
          <w:ilvl w:val="0"/>
          <w:numId w:val="18"/>
        </w:numPr>
        <w:rPr>
          <w:rFonts w:ascii="Trebuchet MS" w:hAnsi="Trebuchet MS"/>
          <w:b/>
          <w:bCs/>
          <w:lang w:val="bg-BG" w:eastAsia="ar-SA"/>
        </w:rPr>
      </w:pPr>
      <w:r>
        <w:rPr>
          <w:rFonts w:ascii="Trebuchet MS" w:hAnsi="Trebuchet MS"/>
          <w:b/>
          <w:bCs/>
          <w:lang w:val="bg-BG" w:eastAsia="ar-SA"/>
        </w:rPr>
        <w:t>Стартиране</w:t>
      </w:r>
      <w:r w:rsidR="00AA6F72" w:rsidRPr="00D23996">
        <w:rPr>
          <w:rFonts w:ascii="Trebuchet MS" w:hAnsi="Trebuchet MS"/>
          <w:b/>
          <w:bCs/>
          <w:lang w:val="bg-BG" w:eastAsia="ar-SA"/>
        </w:rPr>
        <w:t xml:space="preserve"> на процедура</w:t>
      </w:r>
      <w:r>
        <w:rPr>
          <w:rFonts w:ascii="Trebuchet MS" w:hAnsi="Trebuchet MS"/>
          <w:b/>
          <w:bCs/>
          <w:lang w:val="bg-BG" w:eastAsia="ar-SA"/>
        </w:rPr>
        <w:t>та</w:t>
      </w:r>
      <w:r w:rsidR="00AA6F72" w:rsidRPr="00D23996">
        <w:rPr>
          <w:rFonts w:ascii="Trebuchet MS" w:hAnsi="Trebuchet MS"/>
          <w:b/>
          <w:bCs/>
          <w:lang w:val="bg-BG" w:eastAsia="ar-SA"/>
        </w:rPr>
        <w:t xml:space="preserve"> за оценка</w:t>
      </w:r>
    </w:p>
    <w:p w:rsidR="00AA6F72" w:rsidRPr="00D23996" w:rsidRDefault="00AA6F72" w:rsidP="00AA6F72">
      <w:pPr>
        <w:rPr>
          <w:rFonts w:ascii="Trebuchet MS" w:hAnsi="Trebuchet MS"/>
          <w:sz w:val="22"/>
          <w:szCs w:val="22"/>
          <w:lang w:val="bg-BG"/>
        </w:rPr>
      </w:pPr>
      <w:r w:rsidRPr="00D23996">
        <w:rPr>
          <w:rFonts w:ascii="Trebuchet MS" w:hAnsi="Trebuchet MS"/>
          <w:sz w:val="22"/>
          <w:szCs w:val="22"/>
          <w:lang w:val="bg-BG"/>
        </w:rPr>
        <w:t xml:space="preserve">Процедурата по СЕО за </w:t>
      </w:r>
      <w:r w:rsidRPr="00D23996">
        <w:rPr>
          <w:rFonts w:ascii="Trebuchet MS" w:hAnsi="Trebuchet MS"/>
          <w:i/>
          <w:sz w:val="22"/>
          <w:szCs w:val="22"/>
          <w:lang w:val="bg-BG"/>
        </w:rPr>
        <w:t>Програмата Interreg VI-A Румъния-България</w:t>
      </w:r>
      <w:r w:rsidRPr="00D23996">
        <w:rPr>
          <w:rFonts w:ascii="Trebuchet MS" w:hAnsi="Trebuchet MS"/>
          <w:sz w:val="22"/>
          <w:szCs w:val="22"/>
          <w:lang w:val="bg-BG"/>
        </w:rPr>
        <w:t xml:space="preserve"> стартира на 10.08.2021 г., когато Министерството на околната среда, водите и горите беше уведомено (Адрес № 94832/10.08.2021) от Управляващия орган за намерението</w:t>
      </w:r>
      <w:r w:rsidR="00D23996">
        <w:rPr>
          <w:rFonts w:ascii="Trebuchet MS" w:hAnsi="Trebuchet MS"/>
          <w:sz w:val="22"/>
          <w:szCs w:val="22"/>
          <w:lang w:val="bg-BG"/>
        </w:rPr>
        <w:t xml:space="preserve"> на същия</w:t>
      </w:r>
      <w:r w:rsidRPr="00D23996">
        <w:rPr>
          <w:rFonts w:ascii="Trebuchet MS" w:hAnsi="Trebuchet MS"/>
          <w:sz w:val="22"/>
          <w:szCs w:val="22"/>
          <w:lang w:val="bg-BG"/>
        </w:rPr>
        <w:t xml:space="preserve"> да подготви програмата и получи първоначалната </w:t>
      </w:r>
      <w:r w:rsidR="00D23996">
        <w:rPr>
          <w:rFonts w:ascii="Trebuchet MS" w:hAnsi="Trebuchet MS"/>
          <w:sz w:val="22"/>
          <w:szCs w:val="22"/>
          <w:lang w:val="bg-BG"/>
        </w:rPr>
        <w:t>й</w:t>
      </w:r>
      <w:r w:rsidRPr="00D23996">
        <w:rPr>
          <w:rFonts w:ascii="Trebuchet MS" w:hAnsi="Trebuchet MS"/>
          <w:sz w:val="22"/>
          <w:szCs w:val="22"/>
          <w:lang w:val="bg-BG"/>
        </w:rPr>
        <w:t xml:space="preserve"> версия.</w:t>
      </w:r>
    </w:p>
    <w:p w:rsidR="000E54D3" w:rsidRPr="00D23996" w:rsidRDefault="000E54D3" w:rsidP="00AA6F72">
      <w:pPr>
        <w:rPr>
          <w:rFonts w:ascii="Trebuchet MS" w:hAnsi="Trebuchet MS"/>
          <w:sz w:val="22"/>
          <w:szCs w:val="22"/>
          <w:lang w:val="bg-BG"/>
        </w:rPr>
      </w:pPr>
      <w:r w:rsidRPr="00D23996">
        <w:rPr>
          <w:rFonts w:ascii="Trebuchet MS" w:hAnsi="Trebuchet MS"/>
          <w:sz w:val="22"/>
          <w:szCs w:val="22"/>
          <w:lang w:val="bg-BG"/>
        </w:rPr>
        <w:t xml:space="preserve">Внасянето на </w:t>
      </w:r>
      <w:r w:rsidR="00D23996">
        <w:rPr>
          <w:rFonts w:ascii="Trebuchet MS" w:hAnsi="Trebuchet MS"/>
          <w:sz w:val="22"/>
          <w:szCs w:val="22"/>
          <w:lang w:val="bg-BG"/>
        </w:rPr>
        <w:t>уведомлението</w:t>
      </w:r>
      <w:r w:rsidRPr="00D23996">
        <w:rPr>
          <w:rFonts w:ascii="Trebuchet MS" w:hAnsi="Trebuchet MS"/>
          <w:sz w:val="22"/>
          <w:szCs w:val="22"/>
          <w:lang w:val="bg-BG"/>
        </w:rPr>
        <w:t xml:space="preserve"> и пускането на първия проект на Програмата за общ</w:t>
      </w:r>
      <w:r w:rsidR="00D23996">
        <w:rPr>
          <w:rFonts w:ascii="Trebuchet MS" w:hAnsi="Trebuchet MS"/>
          <w:sz w:val="22"/>
          <w:szCs w:val="22"/>
          <w:lang w:val="bg-BG"/>
        </w:rPr>
        <w:t>ествено обсъждане бяха обявени чрез</w:t>
      </w:r>
      <w:r w:rsidRPr="00D23996">
        <w:rPr>
          <w:rFonts w:ascii="Trebuchet MS" w:hAnsi="Trebuchet MS"/>
          <w:sz w:val="22"/>
          <w:szCs w:val="22"/>
          <w:lang w:val="bg-BG"/>
        </w:rPr>
        <w:t xml:space="preserve"> средствата за масова информация в две последователни съобщения, публикувани с интервал от три дни. Копия на публичните съобщения са показани в Приложение 1.</w:t>
      </w:r>
    </w:p>
    <w:p w:rsidR="000E54D3" w:rsidRPr="00D23996" w:rsidRDefault="000E54D3" w:rsidP="00AA6F72">
      <w:pPr>
        <w:rPr>
          <w:rFonts w:ascii="Trebuchet MS" w:hAnsi="Trebuchet MS"/>
          <w:sz w:val="22"/>
          <w:szCs w:val="22"/>
          <w:lang w:val="bg-BG"/>
        </w:rPr>
      </w:pPr>
      <w:r w:rsidRPr="00D23996">
        <w:rPr>
          <w:rFonts w:ascii="Trebuchet MS" w:hAnsi="Trebuchet MS"/>
          <w:sz w:val="22"/>
          <w:szCs w:val="22"/>
          <w:lang w:val="bg-BG"/>
        </w:rPr>
        <w:lastRenderedPageBreak/>
        <w:t xml:space="preserve">Въз основа на информацията, предоставена в първия проект на програмата, Министерството на околната среда, водите и горите изпрати отговор № DEICP/22923/30.08.2021 г., в който се посочва, че „Попада в тези обекти на екологична оценка, предвидени в чл. 5 ал. (2) от </w:t>
      </w:r>
      <w:r w:rsidR="00DF5BAB">
        <w:rPr>
          <w:rFonts w:ascii="Trebuchet MS" w:hAnsi="Trebuchet MS"/>
          <w:sz w:val="22"/>
          <w:szCs w:val="22"/>
          <w:lang w:val="bg-BG"/>
        </w:rPr>
        <w:t>решение на правителството</w:t>
      </w:r>
      <w:r w:rsidRPr="00D23996">
        <w:rPr>
          <w:rFonts w:ascii="Trebuchet MS" w:hAnsi="Trebuchet MS"/>
          <w:sz w:val="22"/>
          <w:szCs w:val="22"/>
          <w:lang w:val="bg-BG"/>
        </w:rPr>
        <w:t xml:space="preserve"> № 1076/2004 за установяване на процедурата за извършване на екологична оценка за планове и програми. Следователно Програма Interreg VI-A Румъния България подлежи на процедурата за </w:t>
      </w:r>
      <w:r w:rsidR="00DF5BAB">
        <w:rPr>
          <w:rFonts w:ascii="Trebuchet MS" w:hAnsi="Trebuchet MS"/>
          <w:sz w:val="22"/>
          <w:szCs w:val="22"/>
          <w:lang w:val="bg-BG"/>
        </w:rPr>
        <w:t xml:space="preserve">екологична </w:t>
      </w:r>
      <w:r w:rsidRPr="00D23996">
        <w:rPr>
          <w:rFonts w:ascii="Trebuchet MS" w:hAnsi="Trebuchet MS"/>
          <w:sz w:val="22"/>
          <w:szCs w:val="22"/>
          <w:lang w:val="bg-BG"/>
        </w:rPr>
        <w:t xml:space="preserve">оценка, съответно подходящата процедура за оценка в съответствие с разпоредбите на GEO 57/2017 относно режима на защитените природни територии, опазването на природните местообитания, дивата флора и фауна и МО </w:t>
      </w:r>
      <w:r w:rsidR="00DF5BAB" w:rsidRPr="00DF5BAB">
        <w:rPr>
          <w:rFonts w:ascii="Trebuchet MS" w:hAnsi="Trebuchet MS"/>
          <w:sz w:val="22"/>
          <w:szCs w:val="22"/>
          <w:lang w:val="bg-BG"/>
        </w:rPr>
        <w:t>no. 19/2010</w:t>
      </w:r>
      <w:r w:rsidR="00DF5BAB">
        <w:rPr>
          <w:rFonts w:ascii="Trebuchet MS" w:hAnsi="Trebuchet MS"/>
          <w:sz w:val="22"/>
          <w:szCs w:val="22"/>
          <w:lang w:val="bg-BG"/>
        </w:rPr>
        <w:t xml:space="preserve"> за одобрението на методическите указания за адекватно оценяване на потенциалните ефекти на планове или проекти върху природни зони от обществени интерес“.</w:t>
      </w:r>
    </w:p>
    <w:p w:rsidR="00F55498" w:rsidRPr="00D23996" w:rsidRDefault="00E80708" w:rsidP="00F55498">
      <w:pPr>
        <w:rPr>
          <w:rFonts w:ascii="Trebuchet MS" w:hAnsi="Trebuchet MS"/>
          <w:sz w:val="22"/>
          <w:szCs w:val="22"/>
          <w:lang w:val="bg-BG"/>
        </w:rPr>
      </w:pPr>
      <w:r w:rsidRPr="00D23996">
        <w:rPr>
          <w:rFonts w:ascii="Trebuchet MS" w:hAnsi="Trebuchet MS"/>
          <w:sz w:val="22"/>
          <w:szCs w:val="22"/>
          <w:lang w:val="bg-BG"/>
        </w:rPr>
        <w:t>След първото заседание на работната група</w:t>
      </w:r>
      <w:r w:rsidR="00DF5BAB">
        <w:rPr>
          <w:rFonts w:ascii="Trebuchet MS" w:hAnsi="Trebuchet MS"/>
          <w:sz w:val="22"/>
          <w:szCs w:val="22"/>
          <w:lang w:val="bg-BG"/>
        </w:rPr>
        <w:t>,</w:t>
      </w:r>
      <w:r w:rsidRPr="00D23996">
        <w:rPr>
          <w:rFonts w:ascii="Trebuchet MS" w:hAnsi="Trebuchet MS"/>
          <w:sz w:val="22"/>
          <w:szCs w:val="22"/>
          <w:lang w:val="bg-BG"/>
        </w:rPr>
        <w:t xml:space="preserve"> дирекция „Биоразнообразие“ към Министерството на водите и горите реши, че „целите, представени в програмата, не включват завършване на процедурата за оценка на съответствието, тъй като не са установени </w:t>
      </w:r>
      <w:r w:rsidR="00DF5BAB">
        <w:rPr>
          <w:rFonts w:ascii="Trebuchet MS" w:hAnsi="Trebuchet MS"/>
          <w:sz w:val="22"/>
          <w:szCs w:val="22"/>
          <w:lang w:val="bg-BG"/>
        </w:rPr>
        <w:t>локациите</w:t>
      </w:r>
      <w:r w:rsidRPr="00D23996">
        <w:rPr>
          <w:rFonts w:ascii="Trebuchet MS" w:hAnsi="Trebuchet MS"/>
          <w:sz w:val="22"/>
          <w:szCs w:val="22"/>
          <w:lang w:val="bg-BG"/>
        </w:rPr>
        <w:t xml:space="preserve"> за бъдещи</w:t>
      </w:r>
      <w:r w:rsidR="00DF5BAB">
        <w:rPr>
          <w:rFonts w:ascii="Trebuchet MS" w:hAnsi="Trebuchet MS"/>
          <w:sz w:val="22"/>
          <w:szCs w:val="22"/>
          <w:lang w:val="bg-BG"/>
        </w:rPr>
        <w:t>те</w:t>
      </w:r>
      <w:r w:rsidRPr="00D23996">
        <w:rPr>
          <w:rFonts w:ascii="Trebuchet MS" w:hAnsi="Trebuchet MS"/>
          <w:sz w:val="22"/>
          <w:szCs w:val="22"/>
          <w:lang w:val="bg-BG"/>
        </w:rPr>
        <w:t xml:space="preserve"> проекти. Екологичният доклад ще представи препоръки относно опазването на видове и местообитания от национален, обществен и международен интерес, съгласно разпоредбите на действащото законодателство”.</w:t>
      </w:r>
    </w:p>
    <w:p w:rsidR="0064002E" w:rsidRPr="00D23996" w:rsidRDefault="0064002E" w:rsidP="00F55498">
      <w:pPr>
        <w:rPr>
          <w:rFonts w:ascii="Trebuchet MS" w:hAnsi="Trebuchet MS"/>
          <w:sz w:val="22"/>
          <w:szCs w:val="22"/>
          <w:lang w:val="bg-BG"/>
        </w:rPr>
      </w:pPr>
    </w:p>
    <w:p w:rsidR="004B4BC2" w:rsidRPr="00D23996" w:rsidRDefault="00E80708" w:rsidP="005C4DCC">
      <w:pPr>
        <w:pStyle w:val="v2"/>
        <w:numPr>
          <w:ilvl w:val="0"/>
          <w:numId w:val="18"/>
        </w:numPr>
        <w:rPr>
          <w:rFonts w:ascii="Trebuchet MS" w:hAnsi="Trebuchet MS"/>
          <w:b/>
          <w:bCs/>
          <w:lang w:val="bg-BG" w:eastAsia="ar-SA"/>
        </w:rPr>
      </w:pPr>
      <w:r w:rsidRPr="00D23996">
        <w:rPr>
          <w:rFonts w:ascii="Trebuchet MS" w:hAnsi="Trebuchet MS"/>
          <w:b/>
          <w:bCs/>
          <w:lang w:val="bg-BG" w:eastAsia="ar-SA"/>
        </w:rPr>
        <w:t>Създаване на работна група</w:t>
      </w:r>
    </w:p>
    <w:p w:rsidR="00E80708" w:rsidRPr="00A40895" w:rsidRDefault="008342C2" w:rsidP="004B4BC2">
      <w:pPr>
        <w:rPr>
          <w:rFonts w:ascii="Trebuchet MS" w:hAnsi="Trebuchet MS"/>
          <w:sz w:val="22"/>
          <w:szCs w:val="22"/>
          <w:lang w:val="bg-BG"/>
        </w:rPr>
      </w:pPr>
      <w:r w:rsidRPr="00D23996">
        <w:rPr>
          <w:rFonts w:ascii="Trebuchet MS" w:hAnsi="Trebuchet MS"/>
          <w:sz w:val="22"/>
          <w:szCs w:val="22"/>
          <w:lang w:val="bg-BG"/>
        </w:rPr>
        <w:t xml:space="preserve">Съгласно чл. 14 ал. 3 от </w:t>
      </w:r>
      <w:r w:rsidR="00DF5BAB">
        <w:rPr>
          <w:rFonts w:ascii="Trebuchet MS" w:hAnsi="Trebuchet MS"/>
          <w:sz w:val="22"/>
          <w:szCs w:val="22"/>
          <w:lang w:val="bg-BG"/>
        </w:rPr>
        <w:t>решение на правителството</w:t>
      </w:r>
      <w:r w:rsidRPr="00D23996">
        <w:rPr>
          <w:rFonts w:ascii="Trebuchet MS" w:hAnsi="Trebuchet MS"/>
          <w:sz w:val="22"/>
          <w:szCs w:val="22"/>
          <w:lang w:val="bg-BG"/>
        </w:rPr>
        <w:t xml:space="preserve"> </w:t>
      </w:r>
      <w:r w:rsidR="00A40895">
        <w:rPr>
          <w:rFonts w:ascii="Trebuchet MS" w:hAnsi="Trebuchet MS"/>
          <w:sz w:val="22"/>
          <w:szCs w:val="22"/>
          <w:lang w:val="bg-BG"/>
        </w:rPr>
        <w:t>№</w:t>
      </w:r>
      <w:r w:rsidRPr="00D23996">
        <w:rPr>
          <w:rFonts w:ascii="Trebuchet MS" w:hAnsi="Trebuchet MS"/>
          <w:sz w:val="22"/>
          <w:szCs w:val="22"/>
          <w:lang w:val="bg-BG"/>
        </w:rPr>
        <w:t xml:space="preserve"> 1076/2004 г. работната група е създадена с цел изпълнение на разпоредбите на чл. 16-19, а именно установяване на обхвата и степента на детайлност на информацията, която да бъде включена в екологичния доклад и анализ на значимите въздействия на програмата върху околната среда. Работната група беше съставена от представители на публични органи: Министерство на </w:t>
      </w:r>
      <w:r w:rsidR="00A40895">
        <w:rPr>
          <w:rFonts w:ascii="Trebuchet MS" w:hAnsi="Trebuchet MS"/>
          <w:sz w:val="22"/>
          <w:szCs w:val="22"/>
          <w:lang w:val="bg-BG"/>
        </w:rPr>
        <w:t>водите, околната среда и горите (О</w:t>
      </w:r>
      <w:r w:rsidRPr="00D23996">
        <w:rPr>
          <w:rFonts w:ascii="Trebuchet MS" w:hAnsi="Trebuchet MS"/>
          <w:sz w:val="22"/>
          <w:szCs w:val="22"/>
          <w:lang w:val="bg-BG"/>
        </w:rPr>
        <w:t>тдел за оценка на въздействие</w:t>
      </w:r>
      <w:r w:rsidR="00A40895">
        <w:rPr>
          <w:rFonts w:ascii="Trebuchet MS" w:hAnsi="Trebuchet MS"/>
          <w:sz w:val="22"/>
          <w:szCs w:val="22"/>
          <w:lang w:val="bg-BG"/>
        </w:rPr>
        <w:t>то и контрол на замърсяването, Отдел за биоразнообразие, О</w:t>
      </w:r>
      <w:r w:rsidRPr="00D23996">
        <w:rPr>
          <w:rFonts w:ascii="Trebuchet MS" w:hAnsi="Trebuchet MS"/>
          <w:sz w:val="22"/>
          <w:szCs w:val="22"/>
          <w:lang w:val="bg-BG"/>
        </w:rPr>
        <w:t xml:space="preserve">тдел за </w:t>
      </w:r>
      <w:r w:rsidR="00A40895">
        <w:rPr>
          <w:rFonts w:ascii="Trebuchet MS" w:hAnsi="Trebuchet MS"/>
          <w:sz w:val="22"/>
          <w:szCs w:val="22"/>
          <w:lang w:val="bg-BG"/>
        </w:rPr>
        <w:t>управление на водните ресурси, О</w:t>
      </w:r>
      <w:r w:rsidRPr="00D23996">
        <w:rPr>
          <w:rFonts w:ascii="Trebuchet MS" w:hAnsi="Trebuchet MS"/>
          <w:sz w:val="22"/>
          <w:szCs w:val="22"/>
          <w:lang w:val="bg-BG"/>
        </w:rPr>
        <w:t>тде</w:t>
      </w:r>
      <w:r w:rsidR="00A40895">
        <w:rPr>
          <w:rFonts w:ascii="Trebuchet MS" w:hAnsi="Trebuchet MS"/>
          <w:sz w:val="22"/>
          <w:szCs w:val="22"/>
          <w:lang w:val="bg-BG"/>
        </w:rPr>
        <w:t>л за управление на отпадъците, О</w:t>
      </w:r>
      <w:r w:rsidRPr="00D23996">
        <w:rPr>
          <w:rFonts w:ascii="Trebuchet MS" w:hAnsi="Trebuchet MS"/>
          <w:sz w:val="22"/>
          <w:szCs w:val="22"/>
          <w:lang w:val="bg-BG"/>
        </w:rPr>
        <w:t>тдел за изменение на климата и устойчиво развитие), Национална администрация на румънските води , Министерство на транспорта и инфраструктурата, Министерство на здравеопазването, Министерство на икономиката, предприемачеството и туризма, Министерство на енергетиката,</w:t>
      </w:r>
      <w:r w:rsidR="00A40895">
        <w:rPr>
          <w:rFonts w:ascii="Trebuchet MS" w:hAnsi="Trebuchet MS"/>
          <w:sz w:val="22"/>
          <w:szCs w:val="22"/>
          <w:lang w:val="bg-BG"/>
        </w:rPr>
        <w:t xml:space="preserve"> Министерство на инвестициите и европейските проекти, Министерство на образованието, Министерство на културата, Министерство на селскостопанското и селското развитие и индивиди или юридически лица, притежаващи правото да съставят екологичния доклад, както и експерти.  </w:t>
      </w:r>
    </w:p>
    <w:p w:rsidR="00A95E19" w:rsidRPr="00D23996" w:rsidRDefault="00A95E19" w:rsidP="00706248">
      <w:pPr>
        <w:rPr>
          <w:rFonts w:ascii="Trebuchet MS" w:hAnsi="Trebuchet MS"/>
          <w:sz w:val="22"/>
          <w:szCs w:val="22"/>
          <w:lang w:val="bg-BG"/>
        </w:rPr>
      </w:pPr>
      <w:r w:rsidRPr="00D23996">
        <w:rPr>
          <w:rFonts w:ascii="Trebuchet MS" w:hAnsi="Trebuchet MS"/>
          <w:sz w:val="22"/>
          <w:szCs w:val="22"/>
          <w:lang w:val="bg-BG"/>
        </w:rPr>
        <w:t>Работната група заседава три пъти, на 8 ноември 2021 г., 27 януари 2022 г. и 16 февруари 2022 г. (Приложение 3 – Протоколи от заседанията на РГ).</w:t>
      </w:r>
    </w:p>
    <w:p w:rsidR="00A95E19" w:rsidRPr="00D23996" w:rsidRDefault="00A95E19" w:rsidP="00706248">
      <w:pPr>
        <w:rPr>
          <w:rFonts w:ascii="Trebuchet MS" w:hAnsi="Trebuchet MS"/>
          <w:sz w:val="22"/>
          <w:szCs w:val="22"/>
          <w:lang w:val="bg-BG"/>
        </w:rPr>
      </w:pPr>
      <w:r w:rsidRPr="00D23996">
        <w:rPr>
          <w:rFonts w:ascii="Trebuchet MS" w:hAnsi="Trebuchet MS"/>
          <w:sz w:val="22"/>
          <w:szCs w:val="22"/>
          <w:lang w:val="bg-BG"/>
        </w:rPr>
        <w:t>Първата среща на работната група установи методологичес</w:t>
      </w:r>
      <w:r w:rsidR="00A40895">
        <w:rPr>
          <w:rFonts w:ascii="Trebuchet MS" w:hAnsi="Trebuchet MS"/>
          <w:sz w:val="22"/>
          <w:szCs w:val="22"/>
          <w:lang w:val="bg-BG"/>
        </w:rPr>
        <w:t>ките аспекти на изготвянето на е</w:t>
      </w:r>
      <w:r w:rsidRPr="00D23996">
        <w:rPr>
          <w:rFonts w:ascii="Trebuchet MS" w:hAnsi="Trebuchet MS"/>
          <w:sz w:val="22"/>
          <w:szCs w:val="22"/>
          <w:lang w:val="bg-BG"/>
        </w:rPr>
        <w:t>кологичния доклад, максималното ниво на детайлност на оценката, съответните екологични проблеми, съответните екологични цели, категориите планове и програми, които да бъдат анализирани в доклад</w:t>
      </w:r>
      <w:r w:rsidR="00A40895">
        <w:rPr>
          <w:rFonts w:ascii="Trebuchet MS" w:hAnsi="Trebuchet MS"/>
          <w:sz w:val="22"/>
          <w:szCs w:val="22"/>
          <w:lang w:val="bg-BG"/>
        </w:rPr>
        <w:t>а</w:t>
      </w:r>
      <w:r w:rsidRPr="00D23996">
        <w:rPr>
          <w:rFonts w:ascii="Trebuchet MS" w:hAnsi="Trebuchet MS"/>
          <w:sz w:val="22"/>
          <w:szCs w:val="22"/>
          <w:lang w:val="bg-BG"/>
        </w:rPr>
        <w:t xml:space="preserve">. Работната група също така анализира </w:t>
      </w:r>
      <w:r w:rsidRPr="00D23996">
        <w:rPr>
          <w:rFonts w:ascii="Trebuchet MS" w:hAnsi="Trebuchet MS"/>
          <w:sz w:val="22"/>
          <w:szCs w:val="22"/>
          <w:lang w:val="bg-BG"/>
        </w:rPr>
        <w:lastRenderedPageBreak/>
        <w:t>проблемите, които трябва да бъдат разгледани във връзка с текущото състояние на различните екологични проблеми.</w:t>
      </w:r>
    </w:p>
    <w:p w:rsidR="00A95E19" w:rsidRPr="00D23996" w:rsidRDefault="00A95E19" w:rsidP="00706248">
      <w:pPr>
        <w:rPr>
          <w:rFonts w:ascii="Trebuchet MS" w:hAnsi="Trebuchet MS"/>
          <w:sz w:val="22"/>
          <w:szCs w:val="22"/>
          <w:lang w:val="bg-BG"/>
        </w:rPr>
      </w:pPr>
      <w:r w:rsidRPr="00D23996">
        <w:rPr>
          <w:rFonts w:ascii="Trebuchet MS" w:hAnsi="Trebuchet MS"/>
          <w:sz w:val="22"/>
          <w:szCs w:val="22"/>
          <w:lang w:val="bg-BG"/>
        </w:rPr>
        <w:t>На втората среща на работната група бяха разгледани: алтернативите на програмата, резултатите от анализа на съвместимостта между целите на програмата и между тях и целите на СЕО, оценката на видовете действия, мерките за избягване и намаляване на потенциалните негативни ефекти и мониторинга на програмата.</w:t>
      </w:r>
    </w:p>
    <w:p w:rsidR="00D27D79" w:rsidRPr="00D23996" w:rsidRDefault="00A95E19" w:rsidP="00A95E19">
      <w:pPr>
        <w:pStyle w:val="v2"/>
        <w:tabs>
          <w:tab w:val="clear" w:pos="720"/>
        </w:tabs>
        <w:ind w:left="0" w:firstLine="0"/>
        <w:jc w:val="both"/>
        <w:rPr>
          <w:rFonts w:ascii="Trebuchet MS" w:hAnsi="Trebuchet MS"/>
          <w:b/>
          <w:bCs/>
          <w:lang w:val="bg-BG" w:eastAsia="ar-SA"/>
        </w:rPr>
      </w:pPr>
      <w:r w:rsidRPr="00D23996">
        <w:rPr>
          <w:rFonts w:ascii="Trebuchet MS" w:eastAsia="Times New Roman" w:hAnsi="Trebuchet MS"/>
          <w:lang w:val="bg-BG" w:eastAsia="ro-RO"/>
        </w:rPr>
        <w:t>На третото заседание на работната група бяха анализирани предложенията на членовете на работната група и н</w:t>
      </w:r>
      <w:r w:rsidR="00A40895">
        <w:rPr>
          <w:rFonts w:ascii="Trebuchet MS" w:eastAsia="Times New Roman" w:hAnsi="Trebuchet MS"/>
          <w:lang w:val="bg-BG" w:eastAsia="ro-RO"/>
        </w:rPr>
        <w:t>ачинът, по който са включени в е</w:t>
      </w:r>
      <w:r w:rsidRPr="00D23996">
        <w:rPr>
          <w:rFonts w:ascii="Trebuchet MS" w:eastAsia="Times New Roman" w:hAnsi="Trebuchet MS"/>
          <w:lang w:val="bg-BG" w:eastAsia="ro-RO"/>
        </w:rPr>
        <w:t>кологичния доклад. Окончате</w:t>
      </w:r>
      <w:r w:rsidR="00A40895">
        <w:rPr>
          <w:rFonts w:ascii="Trebuchet MS" w:eastAsia="Times New Roman" w:hAnsi="Trebuchet MS"/>
          <w:lang w:val="bg-BG" w:eastAsia="ro-RO"/>
        </w:rPr>
        <w:t>лната форма на е</w:t>
      </w:r>
      <w:r w:rsidRPr="00D23996">
        <w:rPr>
          <w:rFonts w:ascii="Trebuchet MS" w:eastAsia="Times New Roman" w:hAnsi="Trebuchet MS"/>
          <w:lang w:val="bg-BG" w:eastAsia="ro-RO"/>
        </w:rPr>
        <w:t>ко</w:t>
      </w:r>
      <w:r w:rsidR="00A40895">
        <w:rPr>
          <w:rFonts w:ascii="Trebuchet MS" w:eastAsia="Times New Roman" w:hAnsi="Trebuchet MS"/>
          <w:lang w:val="bg-BG" w:eastAsia="ro-RO"/>
        </w:rPr>
        <w:t>логичния доклад, съгласувана в р</w:t>
      </w:r>
      <w:r w:rsidRPr="00D23996">
        <w:rPr>
          <w:rFonts w:ascii="Trebuchet MS" w:eastAsia="Times New Roman" w:hAnsi="Trebuchet MS"/>
          <w:lang w:val="bg-BG" w:eastAsia="ro-RO"/>
        </w:rPr>
        <w:t>аботната група, и окончателният вариант на Програмата бяха достъпни за етапа на обществено обсъждане.</w:t>
      </w:r>
    </w:p>
    <w:p w:rsidR="00D27D79" w:rsidRPr="00D23996" w:rsidRDefault="00D27D79" w:rsidP="00D27D79">
      <w:pPr>
        <w:pStyle w:val="v2"/>
        <w:tabs>
          <w:tab w:val="clear" w:pos="720"/>
        </w:tabs>
        <w:ind w:left="1080" w:firstLine="0"/>
        <w:rPr>
          <w:rFonts w:ascii="Trebuchet MS" w:hAnsi="Trebuchet MS"/>
          <w:b/>
          <w:bCs/>
          <w:lang w:val="bg-BG" w:eastAsia="ar-SA"/>
        </w:rPr>
      </w:pPr>
    </w:p>
    <w:p w:rsidR="00E205FD" w:rsidRPr="00D23996" w:rsidRDefault="000F1D87" w:rsidP="005C4DCC">
      <w:pPr>
        <w:pStyle w:val="v2"/>
        <w:numPr>
          <w:ilvl w:val="0"/>
          <w:numId w:val="18"/>
        </w:numPr>
        <w:rPr>
          <w:rFonts w:ascii="Trebuchet MS" w:hAnsi="Trebuchet MS"/>
          <w:b/>
          <w:bCs/>
          <w:lang w:val="bg-BG" w:eastAsia="ar-SA"/>
        </w:rPr>
      </w:pPr>
      <w:r w:rsidRPr="00D23996">
        <w:rPr>
          <w:rFonts w:ascii="Trebuchet MS" w:hAnsi="Trebuchet MS"/>
          <w:b/>
          <w:bCs/>
          <w:lang w:val="bg-BG" w:eastAsia="ar-SA"/>
        </w:rPr>
        <w:t>Екологичен доклад</w:t>
      </w:r>
    </w:p>
    <w:p w:rsidR="00D60836" w:rsidRPr="00D23996" w:rsidRDefault="00D60836" w:rsidP="00D60836">
      <w:pPr>
        <w:ind w:left="360"/>
        <w:rPr>
          <w:rFonts w:ascii="Trebuchet MS" w:hAnsi="Trebuchet MS"/>
          <w:sz w:val="22"/>
          <w:szCs w:val="22"/>
          <w:lang w:val="bg-BG"/>
        </w:rPr>
      </w:pPr>
      <w:r w:rsidRPr="00D23996">
        <w:rPr>
          <w:rFonts w:ascii="Trebuchet MS" w:hAnsi="Trebuchet MS"/>
          <w:sz w:val="22"/>
          <w:szCs w:val="22"/>
          <w:lang w:val="bg-BG"/>
        </w:rPr>
        <w:t xml:space="preserve">Екологичният доклад беше изготвен въз основа на препоръките на работната група. При изготвянето на Екологичния доклад </w:t>
      </w:r>
      <w:r w:rsidR="00BA0E36">
        <w:rPr>
          <w:rFonts w:ascii="Trebuchet MS" w:hAnsi="Trebuchet MS"/>
          <w:sz w:val="22"/>
          <w:szCs w:val="22"/>
          <w:lang w:val="bg-BG"/>
        </w:rPr>
        <w:t>са взети</w:t>
      </w:r>
      <w:r w:rsidRPr="00D23996">
        <w:rPr>
          <w:rFonts w:ascii="Trebuchet MS" w:hAnsi="Trebuchet MS"/>
          <w:sz w:val="22"/>
          <w:szCs w:val="22"/>
          <w:lang w:val="bg-BG"/>
        </w:rPr>
        <w:t xml:space="preserve"> предвид чл. 19 и 20 от </w:t>
      </w:r>
      <w:r w:rsidR="00BA0E36" w:rsidRPr="00BA0E36">
        <w:rPr>
          <w:rFonts w:ascii="Trebuchet MS" w:hAnsi="Trebuchet MS"/>
          <w:sz w:val="22"/>
          <w:szCs w:val="22"/>
          <w:lang w:val="bg-BG"/>
        </w:rPr>
        <w:t xml:space="preserve">решение на правителството </w:t>
      </w:r>
      <w:r w:rsidRPr="00D23996">
        <w:rPr>
          <w:rFonts w:ascii="Trebuchet MS" w:hAnsi="Trebuchet MS"/>
          <w:sz w:val="22"/>
          <w:szCs w:val="22"/>
          <w:lang w:val="bg-BG"/>
        </w:rPr>
        <w:t>№ 1076/2004 г., както следва</w:t>
      </w:r>
      <w:r w:rsidR="00BA0E36">
        <w:rPr>
          <w:rFonts w:ascii="Trebuchet MS" w:hAnsi="Trebuchet MS"/>
          <w:sz w:val="22"/>
          <w:szCs w:val="22"/>
          <w:lang w:val="bg-BG"/>
        </w:rPr>
        <w:t>:</w:t>
      </w:r>
    </w:p>
    <w:p w:rsidR="00E205FD" w:rsidRPr="00D23996" w:rsidRDefault="00D60836" w:rsidP="00D60836">
      <w:pPr>
        <w:pStyle w:val="ListParagraph"/>
        <w:numPr>
          <w:ilvl w:val="0"/>
          <w:numId w:val="9"/>
        </w:numPr>
        <w:rPr>
          <w:rFonts w:ascii="Trebuchet MS" w:hAnsi="Trebuchet MS"/>
          <w:sz w:val="22"/>
          <w:szCs w:val="22"/>
          <w:lang w:val="bg-BG"/>
        </w:rPr>
      </w:pPr>
      <w:r w:rsidRPr="00D23996">
        <w:rPr>
          <w:rFonts w:ascii="Trebuchet MS" w:hAnsi="Trebuchet MS"/>
          <w:sz w:val="22"/>
          <w:szCs w:val="22"/>
          <w:lang w:val="bg-BG"/>
        </w:rPr>
        <w:t xml:space="preserve">Рамковото съдържание на доклада за околната среда е </w:t>
      </w:r>
      <w:r w:rsidR="00BA0E36">
        <w:rPr>
          <w:rFonts w:ascii="Trebuchet MS" w:hAnsi="Trebuchet MS"/>
          <w:sz w:val="22"/>
          <w:szCs w:val="22"/>
          <w:lang w:val="bg-BG"/>
        </w:rPr>
        <w:t>според</w:t>
      </w:r>
      <w:r w:rsidRPr="00D23996">
        <w:rPr>
          <w:rFonts w:ascii="Trebuchet MS" w:hAnsi="Trebuchet MS"/>
          <w:sz w:val="22"/>
          <w:szCs w:val="22"/>
          <w:lang w:val="bg-BG"/>
        </w:rPr>
        <w:t xml:space="preserve"> предвидено</w:t>
      </w:r>
      <w:r w:rsidR="00BA0E36">
        <w:rPr>
          <w:rFonts w:ascii="Trebuchet MS" w:hAnsi="Trebuchet MS"/>
          <w:sz w:val="22"/>
          <w:szCs w:val="22"/>
          <w:lang w:val="bg-BG"/>
        </w:rPr>
        <w:t>то</w:t>
      </w:r>
      <w:r w:rsidRPr="00D23996">
        <w:rPr>
          <w:rFonts w:ascii="Trebuchet MS" w:hAnsi="Trebuchet MS"/>
          <w:sz w:val="22"/>
          <w:szCs w:val="22"/>
          <w:lang w:val="bg-BG"/>
        </w:rPr>
        <w:t xml:space="preserve"> в приложение № 2 от </w:t>
      </w:r>
      <w:r w:rsidR="00BA0E36">
        <w:rPr>
          <w:rFonts w:ascii="Trebuchet MS" w:hAnsi="Trebuchet MS"/>
          <w:sz w:val="22"/>
          <w:szCs w:val="22"/>
          <w:lang w:val="bg-BG"/>
        </w:rPr>
        <w:t>решение на правителството</w:t>
      </w:r>
      <w:r w:rsidRPr="00D23996">
        <w:rPr>
          <w:rFonts w:ascii="Trebuchet MS" w:hAnsi="Trebuchet MS"/>
          <w:sz w:val="22"/>
          <w:szCs w:val="22"/>
          <w:lang w:val="bg-BG"/>
        </w:rPr>
        <w:t xml:space="preserve"> № 1076/2004 и включва:</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съдържанието и основните цели на програмата, както и връзката с други подходящи планове и програми;</w:t>
      </w:r>
    </w:p>
    <w:p w:rsidR="00D60836" w:rsidRPr="00D23996" w:rsidRDefault="00BA0E36" w:rsidP="00D60836">
      <w:pPr>
        <w:pStyle w:val="ListParagraph"/>
        <w:numPr>
          <w:ilvl w:val="0"/>
          <w:numId w:val="19"/>
        </w:numPr>
        <w:rPr>
          <w:rFonts w:ascii="Trebuchet MS" w:hAnsi="Trebuchet MS"/>
          <w:sz w:val="22"/>
          <w:szCs w:val="22"/>
          <w:lang w:val="bg-BG"/>
        </w:rPr>
      </w:pPr>
      <w:r>
        <w:rPr>
          <w:rFonts w:ascii="Trebuchet MS" w:hAnsi="Trebuchet MS"/>
          <w:sz w:val="22"/>
          <w:szCs w:val="22"/>
          <w:lang w:val="bg-BG"/>
        </w:rPr>
        <w:t>релевантните</w:t>
      </w:r>
      <w:r w:rsidR="00D60836" w:rsidRPr="00D23996">
        <w:rPr>
          <w:rFonts w:ascii="Trebuchet MS" w:hAnsi="Trebuchet MS"/>
          <w:sz w:val="22"/>
          <w:szCs w:val="22"/>
          <w:lang w:val="bg-BG"/>
        </w:rPr>
        <w:t xml:space="preserve"> аспекти на текущото състояние на околната среда и на вероятното развитие на ситуацията на неизпълнение на програмата;</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съответните цели за опазване на околната среда, определени на международно, общностно или национално ниво, свързани с програмата, и как са били взети предвид;</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потенциални значителни въздействия върху околната среда, включително екологични проблеми;</w:t>
      </w:r>
    </w:p>
    <w:p w:rsidR="00D60836" w:rsidRPr="00D23996" w:rsidRDefault="00BA0E36" w:rsidP="00D60836">
      <w:pPr>
        <w:pStyle w:val="ListParagraph"/>
        <w:numPr>
          <w:ilvl w:val="0"/>
          <w:numId w:val="19"/>
        </w:numPr>
        <w:rPr>
          <w:rFonts w:ascii="Trebuchet MS" w:hAnsi="Trebuchet MS"/>
          <w:sz w:val="22"/>
          <w:szCs w:val="22"/>
          <w:lang w:val="bg-BG"/>
        </w:rPr>
      </w:pPr>
      <w:r>
        <w:rPr>
          <w:rFonts w:ascii="Trebuchet MS" w:hAnsi="Trebuchet MS"/>
          <w:sz w:val="22"/>
          <w:szCs w:val="22"/>
          <w:lang w:val="bg-BG"/>
        </w:rPr>
        <w:t>възможни значителни</w:t>
      </w:r>
      <w:r w:rsidR="00D60836" w:rsidRPr="00D23996">
        <w:rPr>
          <w:rFonts w:ascii="Trebuchet MS" w:hAnsi="Trebuchet MS"/>
          <w:sz w:val="22"/>
          <w:szCs w:val="22"/>
          <w:lang w:val="bg-BG"/>
        </w:rPr>
        <w:t xml:space="preserve"> въздействи</w:t>
      </w:r>
      <w:r>
        <w:rPr>
          <w:rFonts w:ascii="Trebuchet MS" w:hAnsi="Trebuchet MS"/>
          <w:sz w:val="22"/>
          <w:szCs w:val="22"/>
          <w:lang w:val="bg-BG"/>
        </w:rPr>
        <w:t>я</w:t>
      </w:r>
      <w:r w:rsidR="00D60836" w:rsidRPr="00D23996">
        <w:rPr>
          <w:rFonts w:ascii="Trebuchet MS" w:hAnsi="Trebuchet MS"/>
          <w:sz w:val="22"/>
          <w:szCs w:val="22"/>
          <w:lang w:val="bg-BG"/>
        </w:rPr>
        <w:t xml:space="preserve"> върху околната среда, включително здравето, в трансграничен контекст;</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предложени мерки за предотвратяване, намаляване и възможно най-пълно компенсиране на всякакви неблагоприятни въздействия върху околната среда от изпълнението на програмата;</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изложение на причините, довели до избора на избраните варианти, и описание на начина, по който е извършена оценката, включително всички трудности;</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мерки за мониторинг на ефектите от изпълнението на програмата;</w:t>
      </w:r>
    </w:p>
    <w:p w:rsidR="00D60836" w:rsidRPr="00D23996" w:rsidRDefault="00D60836" w:rsidP="00D60836">
      <w:pPr>
        <w:pStyle w:val="ListParagraph"/>
        <w:numPr>
          <w:ilvl w:val="0"/>
          <w:numId w:val="19"/>
        </w:numPr>
        <w:rPr>
          <w:rFonts w:ascii="Trebuchet MS" w:hAnsi="Trebuchet MS"/>
          <w:sz w:val="22"/>
          <w:szCs w:val="22"/>
          <w:lang w:val="bg-BG"/>
        </w:rPr>
      </w:pPr>
      <w:r w:rsidRPr="00D23996">
        <w:rPr>
          <w:rFonts w:ascii="Trebuchet MS" w:hAnsi="Trebuchet MS"/>
          <w:sz w:val="22"/>
          <w:szCs w:val="22"/>
          <w:lang w:val="bg-BG"/>
        </w:rPr>
        <w:t>нетехническо резюме.</w:t>
      </w:r>
    </w:p>
    <w:p w:rsidR="00E205FD" w:rsidRPr="00D23996" w:rsidRDefault="00D60836" w:rsidP="00D60836">
      <w:pPr>
        <w:pStyle w:val="ListParagraph"/>
        <w:numPr>
          <w:ilvl w:val="0"/>
          <w:numId w:val="10"/>
        </w:numPr>
        <w:rPr>
          <w:rFonts w:ascii="Trebuchet MS" w:hAnsi="Trebuchet MS"/>
          <w:sz w:val="22"/>
          <w:szCs w:val="22"/>
          <w:lang w:val="bg-BG"/>
        </w:rPr>
      </w:pPr>
      <w:r w:rsidRPr="00D23996">
        <w:rPr>
          <w:rFonts w:ascii="Trebuchet MS" w:hAnsi="Trebuchet MS"/>
          <w:sz w:val="22"/>
          <w:szCs w:val="22"/>
          <w:lang w:val="bg-BG"/>
        </w:rPr>
        <w:t xml:space="preserve">При изготвянето на </w:t>
      </w:r>
      <w:r w:rsidR="00BA0E36">
        <w:rPr>
          <w:rFonts w:ascii="Trebuchet MS" w:hAnsi="Trebuchet MS"/>
          <w:sz w:val="22"/>
          <w:szCs w:val="22"/>
          <w:lang w:val="bg-BG"/>
        </w:rPr>
        <w:t>екологичния доклад</w:t>
      </w:r>
      <w:r w:rsidRPr="00D23996">
        <w:rPr>
          <w:rFonts w:ascii="Trebuchet MS" w:hAnsi="Trebuchet MS"/>
          <w:sz w:val="22"/>
          <w:szCs w:val="22"/>
          <w:lang w:val="bg-BG"/>
        </w:rPr>
        <w:t xml:space="preserve"> бяха взети предвид информацията и препоръките, получени в работната група (съгласно чл. 14-19 от </w:t>
      </w:r>
      <w:r w:rsidR="00BA0E36">
        <w:rPr>
          <w:rFonts w:ascii="Trebuchet MS" w:hAnsi="Trebuchet MS"/>
          <w:sz w:val="22"/>
          <w:szCs w:val="22"/>
          <w:lang w:val="bg-BG"/>
        </w:rPr>
        <w:t>решение на правителството</w:t>
      </w:r>
      <w:r w:rsidR="00BA0E36" w:rsidRPr="00D23996">
        <w:rPr>
          <w:rFonts w:ascii="Trebuchet MS" w:hAnsi="Trebuchet MS"/>
          <w:sz w:val="22"/>
          <w:szCs w:val="22"/>
          <w:lang w:val="bg-BG"/>
        </w:rPr>
        <w:t xml:space="preserve"> </w:t>
      </w:r>
      <w:r w:rsidRPr="00D23996">
        <w:rPr>
          <w:rFonts w:ascii="Trebuchet MS" w:hAnsi="Trebuchet MS"/>
          <w:sz w:val="22"/>
          <w:szCs w:val="22"/>
          <w:lang w:val="bg-BG"/>
        </w:rPr>
        <w:t xml:space="preserve">№ 1076/2004) и препоръките, получени по време на периода на обществените консултации (13 август - 17 септември 2021 г. ) </w:t>
      </w:r>
      <w:r w:rsidR="00BA0E36">
        <w:rPr>
          <w:rFonts w:ascii="Trebuchet MS" w:hAnsi="Trebuchet MS"/>
          <w:sz w:val="22"/>
          <w:szCs w:val="22"/>
          <w:lang w:val="bg-BG"/>
        </w:rPr>
        <w:t>в</w:t>
      </w:r>
      <w:r w:rsidR="00A12ED6">
        <w:rPr>
          <w:rFonts w:ascii="Trebuchet MS" w:hAnsi="Trebuchet MS"/>
          <w:sz w:val="22"/>
          <w:szCs w:val="22"/>
          <w:lang w:val="bg-BG"/>
        </w:rPr>
        <w:t xml:space="preserve"> България</w:t>
      </w:r>
      <w:r w:rsidRPr="00D23996">
        <w:rPr>
          <w:rFonts w:ascii="Trebuchet MS" w:hAnsi="Trebuchet MS"/>
          <w:sz w:val="22"/>
          <w:szCs w:val="22"/>
          <w:lang w:val="bg-BG"/>
        </w:rPr>
        <w:t>;</w:t>
      </w:r>
    </w:p>
    <w:p w:rsidR="008E2AE2" w:rsidRPr="00D23996" w:rsidRDefault="00D60836" w:rsidP="001759E2">
      <w:pPr>
        <w:pStyle w:val="ListParagraph"/>
        <w:numPr>
          <w:ilvl w:val="0"/>
          <w:numId w:val="10"/>
        </w:numPr>
        <w:rPr>
          <w:rFonts w:ascii="Trebuchet MS" w:hAnsi="Trebuchet MS"/>
          <w:sz w:val="22"/>
          <w:szCs w:val="22"/>
          <w:lang w:val="bg-BG"/>
        </w:rPr>
      </w:pPr>
      <w:r w:rsidRPr="00D23996">
        <w:rPr>
          <w:rFonts w:ascii="Trebuchet MS" w:hAnsi="Trebuchet MS"/>
          <w:sz w:val="22"/>
          <w:szCs w:val="22"/>
          <w:lang w:val="bg-BG"/>
        </w:rPr>
        <w:lastRenderedPageBreak/>
        <w:t>Екологичният доклад е изготвен от EPC Environmental Consultancy (посочен</w:t>
      </w:r>
      <w:r w:rsidR="00BA0E36">
        <w:rPr>
          <w:rFonts w:ascii="Trebuchet MS" w:hAnsi="Trebuchet MS"/>
          <w:sz w:val="22"/>
          <w:szCs w:val="22"/>
          <w:lang w:val="bg-BG"/>
        </w:rPr>
        <w:t>и</w:t>
      </w:r>
      <w:r w:rsidRPr="00D23996">
        <w:rPr>
          <w:rFonts w:ascii="Trebuchet MS" w:hAnsi="Trebuchet MS"/>
          <w:sz w:val="22"/>
          <w:szCs w:val="22"/>
          <w:lang w:val="bg-BG"/>
        </w:rPr>
        <w:t xml:space="preserve"> в Експертния списък на екологичните проучвания </w:t>
      </w:r>
      <w:r w:rsidR="00BA0E36">
        <w:rPr>
          <w:rFonts w:ascii="Trebuchet MS" w:hAnsi="Trebuchet MS"/>
          <w:sz w:val="22"/>
          <w:szCs w:val="22"/>
          <w:lang w:val="bg-BG"/>
        </w:rPr>
        <w:t>за</w:t>
      </w:r>
      <w:r w:rsidRPr="00D23996">
        <w:rPr>
          <w:rFonts w:ascii="Trebuchet MS" w:hAnsi="Trebuchet MS"/>
          <w:sz w:val="22"/>
          <w:szCs w:val="22"/>
          <w:lang w:val="bg-BG"/>
        </w:rPr>
        <w:t xml:space="preserve"> Румъния под заглавие 747), а частта от доклада за програмната област в България е изготвена от Проф. д-р Петър Петров и екипът му.</w:t>
      </w:r>
    </w:p>
    <w:p w:rsidR="00D60836" w:rsidRPr="00D23996" w:rsidRDefault="00D60836" w:rsidP="001759E2">
      <w:pPr>
        <w:pStyle w:val="ListParagraph"/>
        <w:numPr>
          <w:ilvl w:val="0"/>
          <w:numId w:val="10"/>
        </w:numPr>
        <w:rPr>
          <w:rFonts w:ascii="Trebuchet MS" w:hAnsi="Trebuchet MS"/>
          <w:sz w:val="22"/>
          <w:szCs w:val="22"/>
          <w:lang w:val="bg-BG"/>
        </w:rPr>
        <w:sectPr w:rsidR="00D60836" w:rsidRPr="00D23996" w:rsidSect="00320978">
          <w:headerReference w:type="default" r:id="rId9"/>
          <w:pgSz w:w="11906" w:h="16838"/>
          <w:pgMar w:top="1418" w:right="1418" w:bottom="1418" w:left="1418" w:header="709" w:footer="709" w:gutter="0"/>
          <w:cols w:space="708"/>
          <w:docGrid w:linePitch="360"/>
        </w:sectPr>
      </w:pPr>
    </w:p>
    <w:p w:rsidR="008E2AE2" w:rsidRPr="00D23996" w:rsidRDefault="00E542A7" w:rsidP="005C4DCC">
      <w:pPr>
        <w:pStyle w:val="v2"/>
        <w:numPr>
          <w:ilvl w:val="0"/>
          <w:numId w:val="18"/>
        </w:numPr>
        <w:rPr>
          <w:rFonts w:ascii="Trebuchet MS" w:hAnsi="Trebuchet MS"/>
          <w:b/>
          <w:bCs/>
          <w:lang w:val="bg-BG" w:eastAsia="ar-SA"/>
        </w:rPr>
      </w:pPr>
      <w:r w:rsidRPr="00D23996">
        <w:rPr>
          <w:rFonts w:ascii="Trebuchet MS" w:hAnsi="Trebuchet MS"/>
          <w:b/>
          <w:bCs/>
          <w:lang w:val="bg-BG" w:eastAsia="ar-SA"/>
        </w:rPr>
        <w:lastRenderedPageBreak/>
        <w:t xml:space="preserve">Публично изслушване на екологичния доклад и програмата Interreg </w:t>
      </w:r>
      <w:r w:rsidRPr="00A12ED6">
        <w:rPr>
          <w:rFonts w:ascii="Trebuchet MS" w:hAnsi="Trebuchet MS"/>
          <w:b/>
          <w:bCs/>
          <w:lang w:val="bg-BG" w:eastAsia="ar-SA"/>
        </w:rPr>
        <w:t>V</w:t>
      </w:r>
      <w:r w:rsidR="00BA0E36" w:rsidRPr="00A12ED6">
        <w:rPr>
          <w:rFonts w:ascii="Trebuchet MS" w:hAnsi="Trebuchet MS"/>
          <w:b/>
          <w:bCs/>
          <w:lang w:eastAsia="ar-SA"/>
        </w:rPr>
        <w:t>I</w:t>
      </w:r>
      <w:bookmarkStart w:id="0" w:name="_GoBack"/>
      <w:bookmarkEnd w:id="0"/>
      <w:r w:rsidR="00BA0E36">
        <w:rPr>
          <w:rFonts w:ascii="Trebuchet MS" w:hAnsi="Trebuchet MS"/>
          <w:b/>
          <w:bCs/>
          <w:lang w:eastAsia="ar-SA"/>
        </w:rPr>
        <w:t>-</w:t>
      </w:r>
      <w:r w:rsidRPr="00D23996">
        <w:rPr>
          <w:rFonts w:ascii="Trebuchet MS" w:hAnsi="Trebuchet MS"/>
          <w:b/>
          <w:bCs/>
          <w:lang w:val="bg-BG" w:eastAsia="ar-SA"/>
        </w:rPr>
        <w:t>A Румъния-България 2021-2027 г.</w:t>
      </w:r>
    </w:p>
    <w:p w:rsidR="00367CC9" w:rsidRPr="00D23996" w:rsidRDefault="00BA0E36" w:rsidP="00F53443">
      <w:pPr>
        <w:rPr>
          <w:rFonts w:ascii="Trebuchet MS" w:hAnsi="Trebuchet MS"/>
          <w:sz w:val="22"/>
          <w:szCs w:val="22"/>
          <w:lang w:val="bg-BG"/>
        </w:rPr>
      </w:pPr>
      <w:r>
        <w:rPr>
          <w:rFonts w:ascii="Trebuchet MS" w:hAnsi="Trebuchet MS"/>
          <w:sz w:val="22"/>
          <w:szCs w:val="22"/>
          <w:lang w:val="bg-BG"/>
        </w:rPr>
        <w:t>Екологичният доклад е изготвен в периода</w:t>
      </w:r>
      <w:r w:rsidR="00E542A7" w:rsidRPr="00D23996">
        <w:rPr>
          <w:rFonts w:ascii="Trebuchet MS" w:hAnsi="Trebuchet MS"/>
          <w:sz w:val="22"/>
          <w:szCs w:val="22"/>
          <w:lang w:val="bg-BG"/>
        </w:rPr>
        <w:t xml:space="preserve"> август 2021 г. - февруари 2022 г. Версията на </w:t>
      </w:r>
      <w:r>
        <w:rPr>
          <w:rFonts w:ascii="Trebuchet MS" w:hAnsi="Trebuchet MS"/>
          <w:sz w:val="22"/>
          <w:szCs w:val="22"/>
          <w:lang w:val="bg-BG"/>
        </w:rPr>
        <w:t>е</w:t>
      </w:r>
      <w:r w:rsidR="00E542A7" w:rsidRPr="00D23996">
        <w:rPr>
          <w:rFonts w:ascii="Trebuchet MS" w:hAnsi="Trebuchet MS"/>
          <w:sz w:val="22"/>
          <w:szCs w:val="22"/>
          <w:lang w:val="bg-BG"/>
        </w:rPr>
        <w:t>Екологичния доклад, предмет на обществено обсъждане, беше достъпна на уеб страниците на програмата (</w:t>
      </w:r>
      <w:hyperlink r:id="rId10" w:history="1">
        <w:r w:rsidR="00041AA2" w:rsidRPr="00D23996">
          <w:rPr>
            <w:rStyle w:val="Hyperlink"/>
            <w:rFonts w:ascii="Trebuchet MS" w:hAnsi="Trebuchet MS"/>
            <w:sz w:val="22"/>
            <w:szCs w:val="22"/>
            <w:lang w:val="bg-BG"/>
          </w:rPr>
          <w:t>https://interregviarobg.eu/</w:t>
        </w:r>
      </w:hyperlink>
      <w:r w:rsidR="00041AA2" w:rsidRPr="00BA0E36">
        <w:rPr>
          <w:rStyle w:val="Hyperlink"/>
          <w:rFonts w:ascii="Trebuchet MS" w:hAnsi="Trebuchet MS"/>
          <w:color w:val="auto"/>
          <w:sz w:val="22"/>
          <w:szCs w:val="22"/>
          <w:u w:val="none"/>
          <w:lang w:val="bg-BG"/>
        </w:rPr>
        <w:t>)</w:t>
      </w:r>
      <w:r w:rsidRPr="00BA0E36">
        <w:rPr>
          <w:rStyle w:val="Hyperlink"/>
          <w:rFonts w:ascii="Trebuchet MS" w:hAnsi="Trebuchet MS"/>
          <w:color w:val="auto"/>
          <w:sz w:val="22"/>
          <w:szCs w:val="22"/>
          <w:u w:val="none"/>
          <w:lang w:val="bg-BG"/>
        </w:rPr>
        <w:t xml:space="preserve"> </w:t>
      </w:r>
      <w:r w:rsidR="004F5FB6" w:rsidRPr="00D23996">
        <w:rPr>
          <w:rFonts w:ascii="Trebuchet MS" w:hAnsi="Trebuchet MS"/>
          <w:sz w:val="22"/>
          <w:szCs w:val="22"/>
          <w:lang w:val="bg-BG"/>
        </w:rPr>
        <w:t>и компетентния орган по опазване на околната среда Министерството на околната среда, водите и горите (</w:t>
      </w:r>
      <w:hyperlink r:id="rId11" w:history="1">
        <w:r w:rsidR="00B73045" w:rsidRPr="00D23996">
          <w:rPr>
            <w:rStyle w:val="Hyperlink"/>
            <w:rFonts w:ascii="Trebuchet MS" w:hAnsi="Trebuchet MS"/>
            <w:sz w:val="22"/>
            <w:szCs w:val="22"/>
            <w:lang w:val="bg-BG"/>
          </w:rPr>
          <w:t>http://www.mmediu.ro/categorie/programul-interreg-vi-a-romania-bulgaria/361</w:t>
        </w:r>
      </w:hyperlink>
      <w:r w:rsidR="00B73045" w:rsidRPr="00D23996">
        <w:rPr>
          <w:rFonts w:ascii="Trebuchet MS" w:hAnsi="Trebuchet MS"/>
          <w:sz w:val="22"/>
          <w:szCs w:val="22"/>
          <w:lang w:val="bg-BG"/>
        </w:rPr>
        <w:t>), заедно с окончателния вариант на програмата, считано от 17.02.2022 г. Обществеността беше уведомена на горепосочените уебсайтове за възможността да изрази мнението си по документите в рамките на 30 дни от датата на публикуване (обявлението може да бъде намерено в Приложение 2).</w:t>
      </w:r>
    </w:p>
    <w:p w:rsidR="00BA3EB3" w:rsidRPr="00D23996" w:rsidRDefault="00BA3EB3" w:rsidP="00F53443">
      <w:pPr>
        <w:rPr>
          <w:rFonts w:ascii="Trebuchet MS" w:hAnsi="Trebuchet MS"/>
          <w:sz w:val="22"/>
          <w:szCs w:val="22"/>
          <w:lang w:val="bg-BG"/>
        </w:rPr>
      </w:pPr>
    </w:p>
    <w:p w:rsidR="00EF39E8" w:rsidRPr="00D23996" w:rsidRDefault="00EF39E8" w:rsidP="00EF39E8">
      <w:pPr>
        <w:pStyle w:val="v2"/>
        <w:numPr>
          <w:ilvl w:val="0"/>
          <w:numId w:val="18"/>
        </w:numPr>
        <w:rPr>
          <w:rFonts w:ascii="Trebuchet MS" w:hAnsi="Trebuchet MS"/>
          <w:b/>
          <w:bCs/>
          <w:lang w:val="bg-BG" w:eastAsia="ar-SA"/>
        </w:rPr>
      </w:pPr>
      <w:r w:rsidRPr="00D23996">
        <w:rPr>
          <w:rFonts w:ascii="Trebuchet MS" w:hAnsi="Trebuchet MS"/>
          <w:b/>
          <w:bCs/>
          <w:lang w:val="bg-BG" w:eastAsia="ar-SA"/>
        </w:rPr>
        <w:t>Приети мерки относно мониторинга</w:t>
      </w:r>
    </w:p>
    <w:p w:rsidR="00EF39E8" w:rsidRPr="00D23996" w:rsidRDefault="00EF39E8" w:rsidP="00EF39E8">
      <w:pPr>
        <w:pStyle w:val="v2"/>
        <w:tabs>
          <w:tab w:val="clear" w:pos="720"/>
          <w:tab w:val="num" w:pos="142"/>
        </w:tabs>
        <w:ind w:left="0" w:hanging="11"/>
        <w:jc w:val="both"/>
        <w:rPr>
          <w:rFonts w:ascii="Trebuchet MS" w:eastAsia="Times New Roman" w:hAnsi="Trebuchet MS"/>
          <w:lang w:val="bg-BG" w:eastAsia="ro-RO"/>
        </w:rPr>
      </w:pPr>
      <w:r w:rsidRPr="00D23996">
        <w:rPr>
          <w:rFonts w:ascii="Trebuchet MS" w:eastAsia="Times New Roman" w:hAnsi="Trebuchet MS"/>
          <w:lang w:val="bg-BG" w:eastAsia="ro-RO"/>
        </w:rPr>
        <w:t xml:space="preserve">Програмата за мониторинг на ефектите от изпълнението на програмата има за цел идентифициране, респективно предотвратяване на потенциални негативни въздействия върху екологичните проблеми и позволява предлагането на допълнителни мерки за намаляване на въздействието върху околната среда или за </w:t>
      </w:r>
      <w:r w:rsidR="00F469FD">
        <w:rPr>
          <w:rFonts w:ascii="Trebuchet MS" w:hAnsi="Trebuchet MS" w:cs="Arial"/>
          <w:lang w:val="bg-BG"/>
        </w:rPr>
        <w:t>поправяне на ефектите върху</w:t>
      </w:r>
      <w:r w:rsidR="00F469FD" w:rsidRPr="009D0D9D">
        <w:rPr>
          <w:rFonts w:ascii="Trebuchet MS" w:hAnsi="Trebuchet MS" w:cs="Arial"/>
          <w:lang w:val="bg-BG"/>
        </w:rPr>
        <w:t xml:space="preserve"> евентуално засегнати </w:t>
      </w:r>
      <w:r w:rsidR="00F469FD">
        <w:rPr>
          <w:rFonts w:ascii="Trebuchet MS" w:hAnsi="Trebuchet MS" w:cs="Arial"/>
          <w:lang w:val="bg-BG"/>
        </w:rPr>
        <w:t>области</w:t>
      </w:r>
      <w:r w:rsidRPr="00D23996">
        <w:rPr>
          <w:rFonts w:ascii="Trebuchet MS" w:eastAsia="Times New Roman" w:hAnsi="Trebuchet MS"/>
          <w:lang w:val="bg-BG" w:eastAsia="ro-RO"/>
        </w:rPr>
        <w:t>. Програмата за мониторинг се основава на съответните екологични цели, взети предвид в оценката. Предложеният набор от индикатори е насочен главно към съответните екологични цели, които биха могли да бъдат неблагоприятно засегнати, но също и към превантивни мерки. Таблицата по-долу показва индикаторите за наблюдение.</w:t>
      </w:r>
    </w:p>
    <w:p w:rsidR="00EF39E8" w:rsidRPr="00D23996" w:rsidRDefault="00EF39E8" w:rsidP="00EF39E8">
      <w:pPr>
        <w:pStyle w:val="v2"/>
        <w:tabs>
          <w:tab w:val="clear" w:pos="720"/>
          <w:tab w:val="num" w:pos="142"/>
        </w:tabs>
        <w:ind w:left="0" w:hanging="11"/>
        <w:jc w:val="both"/>
        <w:rPr>
          <w:rFonts w:ascii="Trebuchet MS" w:eastAsia="Times New Roman" w:hAnsi="Trebuchet MS"/>
          <w:lang w:val="bg-BG" w:eastAsia="ro-RO"/>
        </w:rPr>
      </w:pPr>
      <w:r w:rsidRPr="00D23996">
        <w:rPr>
          <w:rFonts w:ascii="Trebuchet MS" w:eastAsia="Times New Roman" w:hAnsi="Trebuchet MS"/>
          <w:lang w:val="bg-BG" w:eastAsia="ro-RO"/>
        </w:rPr>
        <w:t xml:space="preserve">Като се има предвид, че има няколко органа и институции, участващи в секторите, обхванати от програмата, собственикът на програмата ще събира данни за предложените индикатори въз основа на резултатите от изпълнените проекти, като основната му отговорност е да централизира и представи предложените индикатори </w:t>
      </w:r>
      <w:r w:rsidR="00F469FD">
        <w:rPr>
          <w:rFonts w:ascii="Trebuchet MS" w:eastAsia="Times New Roman" w:hAnsi="Trebuchet MS"/>
          <w:lang w:val="bg-BG" w:eastAsia="ro-RO"/>
        </w:rPr>
        <w:t>по</w:t>
      </w:r>
      <w:r w:rsidRPr="00D23996">
        <w:rPr>
          <w:rFonts w:ascii="Trebuchet MS" w:eastAsia="Times New Roman" w:hAnsi="Trebuchet MS"/>
          <w:lang w:val="bg-BG" w:eastAsia="ro-RO"/>
        </w:rPr>
        <w:t xml:space="preserve"> подходящ начин.</w:t>
      </w:r>
    </w:p>
    <w:p w:rsidR="00EF39E8" w:rsidRPr="00D23996" w:rsidRDefault="00EF39E8" w:rsidP="00C81DE2">
      <w:pPr>
        <w:jc w:val="center"/>
        <w:rPr>
          <w:rFonts w:ascii="Trebuchet MS" w:hAnsi="Trebuchet MS" w:cstheme="minorHAnsi"/>
          <w:b/>
          <w:sz w:val="20"/>
          <w:szCs w:val="20"/>
          <w:lang w:val="bg-BG"/>
        </w:rPr>
        <w:sectPr w:rsidR="00EF39E8" w:rsidRPr="00D23996">
          <w:pgSz w:w="11906" w:h="16838"/>
          <w:pgMar w:top="1417" w:right="1417" w:bottom="1417" w:left="1417" w:header="708" w:footer="708" w:gutter="0"/>
          <w:cols w:space="708"/>
          <w:docGrid w:linePitch="360"/>
        </w:sectPr>
      </w:pPr>
    </w:p>
    <w:p w:rsidR="00EF39E8" w:rsidRPr="00D23996" w:rsidRDefault="00EF39E8" w:rsidP="00EF39E8">
      <w:pPr>
        <w:pStyle w:val="Caption"/>
        <w:keepNext/>
        <w:rPr>
          <w:lang w:val="bg-BG"/>
        </w:rPr>
      </w:pPr>
      <w:r w:rsidRPr="00D23996">
        <w:rPr>
          <w:lang w:val="bg-BG"/>
        </w:rPr>
        <w:lastRenderedPageBreak/>
        <w:t>Таблица</w:t>
      </w:r>
      <w:r w:rsidR="00F469FD">
        <w:rPr>
          <w:lang w:val="bg-BG"/>
        </w:rPr>
        <w:t xml:space="preserve"> </w:t>
      </w:r>
      <w:r w:rsidR="00AE4939" w:rsidRPr="00D23996">
        <w:rPr>
          <w:noProof/>
          <w:lang w:val="bg-BG"/>
        </w:rPr>
        <w:fldChar w:fldCharType="begin"/>
      </w:r>
      <w:r w:rsidR="00AE4939" w:rsidRPr="00D23996">
        <w:rPr>
          <w:noProof/>
          <w:lang w:val="bg-BG"/>
        </w:rPr>
        <w:instrText xml:space="preserve"> SEQ Table \* ARABIC </w:instrText>
      </w:r>
      <w:r w:rsidR="00AE4939" w:rsidRPr="00D23996">
        <w:rPr>
          <w:noProof/>
          <w:lang w:val="bg-BG"/>
        </w:rPr>
        <w:fldChar w:fldCharType="separate"/>
      </w:r>
      <w:r w:rsidR="00BB793F" w:rsidRPr="00D23996">
        <w:rPr>
          <w:noProof/>
          <w:lang w:val="bg-BG"/>
        </w:rPr>
        <w:t>1</w:t>
      </w:r>
      <w:r w:rsidR="00AE4939" w:rsidRPr="00D23996">
        <w:rPr>
          <w:noProof/>
          <w:lang w:val="bg-BG"/>
        </w:rPr>
        <w:fldChar w:fldCharType="end"/>
      </w:r>
      <w:r w:rsidR="00F469FD">
        <w:rPr>
          <w:noProof/>
          <w:lang w:val="bg-BG"/>
        </w:rPr>
        <w:t xml:space="preserve"> </w:t>
      </w:r>
      <w:r w:rsidRPr="00D23996">
        <w:rPr>
          <w:lang w:val="bg-BG"/>
        </w:rPr>
        <w:t>Предложени индикатори за проследяване на ефектите от програмата</w:t>
      </w:r>
    </w:p>
    <w:tbl>
      <w:tblPr>
        <w:tblStyle w:val="TableGrid"/>
        <w:tblW w:w="14312" w:type="dxa"/>
        <w:jc w:val="center"/>
        <w:tblInd w:w="687" w:type="dxa"/>
        <w:tblLayout w:type="fixed"/>
        <w:tblLook w:val="04A0" w:firstRow="1" w:lastRow="0" w:firstColumn="1" w:lastColumn="0" w:noHBand="0" w:noVBand="1"/>
      </w:tblPr>
      <w:tblGrid>
        <w:gridCol w:w="1367"/>
        <w:gridCol w:w="720"/>
        <w:gridCol w:w="5580"/>
        <w:gridCol w:w="1710"/>
        <w:gridCol w:w="1103"/>
        <w:gridCol w:w="1114"/>
        <w:gridCol w:w="2718"/>
      </w:tblGrid>
      <w:tr w:rsidR="00F469FD" w:rsidRPr="00F469FD" w:rsidTr="00F469FD">
        <w:trPr>
          <w:trHeight w:val="297"/>
          <w:tblHeader/>
          <w:jc w:val="center"/>
        </w:trPr>
        <w:tc>
          <w:tcPr>
            <w:tcW w:w="1367"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cstheme="minorHAnsi"/>
                <w:b/>
                <w:sz w:val="18"/>
                <w:szCs w:val="18"/>
                <w:lang w:val="bg-BG"/>
              </w:rPr>
              <w:t>Екологична цел</w:t>
            </w:r>
          </w:p>
        </w:tc>
        <w:tc>
          <w:tcPr>
            <w:tcW w:w="6300" w:type="dxa"/>
            <w:gridSpan w:val="2"/>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cstheme="minorHAnsi"/>
                <w:b/>
                <w:sz w:val="18"/>
                <w:szCs w:val="18"/>
                <w:lang w:val="bg-BG"/>
              </w:rPr>
              <w:t>Индикатор</w:t>
            </w:r>
          </w:p>
        </w:tc>
        <w:tc>
          <w:tcPr>
            <w:tcW w:w="171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b/>
                <w:bCs/>
                <w:color w:val="000000"/>
                <w:sz w:val="18"/>
                <w:szCs w:val="18"/>
                <w:shd w:val="clear" w:color="auto" w:fill="FFFFFF"/>
                <w:lang w:val="bg-BG"/>
              </w:rPr>
              <w:t>Действия, които трябва да бъдат наблюдавани</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cstheme="minorHAnsi"/>
                <w:b/>
                <w:sz w:val="18"/>
                <w:szCs w:val="18"/>
                <w:lang w:val="bg-BG"/>
              </w:rPr>
              <w:t>Цел</w:t>
            </w:r>
          </w:p>
        </w:tc>
        <w:tc>
          <w:tcPr>
            <w:tcW w:w="1114"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cstheme="minorHAnsi"/>
                <w:b/>
                <w:sz w:val="18"/>
                <w:szCs w:val="18"/>
                <w:lang w:val="bg-BG"/>
              </w:rPr>
              <w:t>Мерна единица</w:t>
            </w:r>
          </w:p>
        </w:tc>
        <w:tc>
          <w:tcPr>
            <w:tcW w:w="2718"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b/>
                <w:sz w:val="18"/>
                <w:szCs w:val="18"/>
                <w:lang w:val="bg-BG"/>
              </w:rPr>
            </w:pPr>
            <w:r w:rsidRPr="00F469FD">
              <w:rPr>
                <w:rFonts w:ascii="Trebuchet MS" w:hAnsi="Trebuchet MS" w:cstheme="minorHAnsi"/>
                <w:b/>
                <w:sz w:val="18"/>
                <w:szCs w:val="18"/>
                <w:lang w:val="bg-BG"/>
              </w:rPr>
              <w:t>Наблюдения</w:t>
            </w:r>
          </w:p>
        </w:tc>
      </w:tr>
      <w:tr w:rsidR="00F469FD" w:rsidRPr="00F469FD" w:rsidTr="00F469FD">
        <w:trPr>
          <w:trHeight w:val="894"/>
          <w:jc w:val="center"/>
        </w:trPr>
        <w:tc>
          <w:tcPr>
            <w:tcW w:w="1367"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Общ</w:t>
            </w: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MON1</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Делът на разходите за екологични мерки в общата стойност на проектите</w:t>
            </w:r>
          </w:p>
        </w:tc>
        <w:tc>
          <w:tcPr>
            <w:tcW w:w="171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Всички действия, особено A1</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&gt; 0 %</w:t>
            </w:r>
          </w:p>
        </w:tc>
        <w:tc>
          <w:tcPr>
            <w:tcW w:w="1114"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Процент</w:t>
            </w:r>
          </w:p>
        </w:tc>
        <w:tc>
          <w:tcPr>
            <w:tcW w:w="2718"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Екологичните мерки представляват M1-M9 (вижте Таблица 9-1 по-горе)</w:t>
            </w:r>
          </w:p>
        </w:tc>
      </w:tr>
      <w:tr w:rsidR="00F469FD" w:rsidRPr="00F469FD" w:rsidTr="00F469FD">
        <w:trPr>
          <w:trHeight w:val="413"/>
          <w:jc w:val="center"/>
        </w:trPr>
        <w:tc>
          <w:tcPr>
            <w:tcW w:w="1367" w:type="dxa"/>
            <w:vMerge w:val="restart"/>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jc w:val="left"/>
              <w:rPr>
                <w:rFonts w:ascii="Trebuchet MS" w:hAnsi="Trebuchet MS" w:cstheme="minorHAnsi"/>
                <w:sz w:val="18"/>
                <w:szCs w:val="18"/>
                <w:lang w:val="bg-BG"/>
              </w:rPr>
            </w:pPr>
            <w:r w:rsidRPr="00F469FD">
              <w:rPr>
                <w:rFonts w:ascii="Trebuchet MS" w:hAnsi="Trebuchet MS" w:cstheme="minorHAnsi"/>
                <w:sz w:val="18"/>
                <w:szCs w:val="18"/>
                <w:lang w:val="bg-BG"/>
              </w:rPr>
              <w:t>REO 1 Био- разнообразие</w:t>
            </w: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MON2</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Брой анализи на околната среда за оценка на въздействието на различни варианти за изпълнение на проект за плавателност</w:t>
            </w:r>
          </w:p>
        </w:tc>
        <w:tc>
          <w:tcPr>
            <w:tcW w:w="171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A2</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&gt; 0</w:t>
            </w:r>
          </w:p>
        </w:tc>
        <w:tc>
          <w:tcPr>
            <w:tcW w:w="1114"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Брой</w:t>
            </w:r>
          </w:p>
        </w:tc>
        <w:tc>
          <w:tcPr>
            <w:tcW w:w="2718"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За да се гарантира, че всяко решение се основава на анализ на околната среда</w:t>
            </w:r>
          </w:p>
        </w:tc>
      </w:tr>
      <w:tr w:rsidR="00F469FD" w:rsidRPr="00F469FD" w:rsidTr="00F469FD">
        <w:trPr>
          <w:trHeight w:val="413"/>
          <w:jc w:val="center"/>
        </w:trPr>
        <w:tc>
          <w:tcPr>
            <w:tcW w:w="1367" w:type="dxa"/>
            <w:vMerge/>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spacing w:line="240" w:lineRule="auto"/>
              <w:jc w:val="left"/>
              <w:rPr>
                <w:rFonts w:ascii="Trebuchet MS" w:hAnsi="Trebuchet MS" w:cstheme="minorHAnsi"/>
                <w:sz w:val="18"/>
                <w:szCs w:val="18"/>
                <w:lang w:val="bg-BG"/>
              </w:rPr>
            </w:pP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MON3</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Дял на санираните сгради, за които предварително е установено наличието на гнезда/убежища на птици и прилепи</w:t>
            </w:r>
          </w:p>
        </w:tc>
        <w:tc>
          <w:tcPr>
            <w:tcW w:w="1710" w:type="dxa"/>
            <w:vMerge w:val="restart"/>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A1, A13, по избор A3 и A11</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100%</w:t>
            </w:r>
          </w:p>
        </w:tc>
        <w:tc>
          <w:tcPr>
            <w:tcW w:w="1114"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Процент</w:t>
            </w:r>
          </w:p>
        </w:tc>
        <w:tc>
          <w:tcPr>
            <w:tcW w:w="2718"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Отнася се само за проекти, стартирани след одобрение на програмата</w:t>
            </w:r>
          </w:p>
        </w:tc>
      </w:tr>
      <w:tr w:rsidR="00F469FD" w:rsidRPr="00F469FD" w:rsidTr="00F469FD">
        <w:trPr>
          <w:trHeight w:val="556"/>
          <w:jc w:val="center"/>
        </w:trPr>
        <w:tc>
          <w:tcPr>
            <w:tcW w:w="1367" w:type="dxa"/>
            <w:vMerge/>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spacing w:line="240" w:lineRule="auto"/>
              <w:jc w:val="left"/>
              <w:rPr>
                <w:rFonts w:ascii="Trebuchet MS" w:hAnsi="Trebuchet MS" w:cstheme="minorHAnsi"/>
                <w:sz w:val="18"/>
                <w:szCs w:val="18"/>
                <w:lang w:val="bg-BG"/>
              </w:rPr>
            </w:pP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MON4</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Брой ситуации, при които е било необходимо да се защитят/преместят гнезда/убежища на птици и прилепи и/или да се монтират изкуствени укрития/гнезда</w:t>
            </w:r>
          </w:p>
        </w:tc>
        <w:tc>
          <w:tcPr>
            <w:tcW w:w="1710" w:type="dxa"/>
            <w:vMerge/>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spacing w:line="240" w:lineRule="auto"/>
              <w:rPr>
                <w:rFonts w:ascii="Trebuchet MS" w:hAnsi="Trebuchet MS" w:cstheme="minorHAnsi"/>
                <w:sz w:val="18"/>
                <w:szCs w:val="18"/>
                <w:lang w:val="bg-BG"/>
              </w:rPr>
            </w:pP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&gt; 0</w:t>
            </w:r>
          </w:p>
        </w:tc>
        <w:tc>
          <w:tcPr>
            <w:tcW w:w="1114"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Брой</w:t>
            </w:r>
          </w:p>
        </w:tc>
        <w:tc>
          <w:tcPr>
            <w:tcW w:w="2718"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w:t>
            </w:r>
          </w:p>
        </w:tc>
      </w:tr>
      <w:tr w:rsidR="00F469FD" w:rsidRPr="00F469FD" w:rsidTr="00F469FD">
        <w:trPr>
          <w:trHeight w:val="277"/>
          <w:jc w:val="center"/>
        </w:trPr>
        <w:tc>
          <w:tcPr>
            <w:tcW w:w="1367" w:type="dxa"/>
            <w:vMerge w:val="restart"/>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jc w:val="left"/>
              <w:rPr>
                <w:rFonts w:ascii="Trebuchet MS" w:hAnsi="Trebuchet MS" w:cstheme="minorHAnsi"/>
                <w:sz w:val="18"/>
                <w:szCs w:val="18"/>
                <w:lang w:val="bg-BG"/>
              </w:rPr>
            </w:pPr>
            <w:r w:rsidRPr="00F469FD">
              <w:rPr>
                <w:rFonts w:ascii="Trebuchet MS" w:hAnsi="Trebuchet MS" w:cstheme="minorHAnsi"/>
                <w:sz w:val="18"/>
                <w:szCs w:val="18"/>
                <w:lang w:val="bg-BG"/>
              </w:rPr>
              <w:t>REO 4 Почва</w:t>
            </w: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en-US"/>
              </w:rPr>
              <w:t>MON</w:t>
            </w:r>
            <w:r w:rsidRPr="00F469FD">
              <w:rPr>
                <w:rFonts w:ascii="Trebuchet MS" w:hAnsi="Trebuchet MS" w:cstheme="minorHAnsi"/>
                <w:sz w:val="18"/>
                <w:szCs w:val="18"/>
                <w:lang w:val="bg-BG"/>
              </w:rPr>
              <w:t>5</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Обща почвена площ, загубена в резултат на изпълнението на предложените действия</w:t>
            </w:r>
          </w:p>
        </w:tc>
        <w:tc>
          <w:tcPr>
            <w:tcW w:w="1710" w:type="dxa"/>
            <w:vMerge w:val="restart"/>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A1, A3, A12 и A13</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Колкото е възможно по-малка</w:t>
            </w:r>
          </w:p>
        </w:tc>
        <w:tc>
          <w:tcPr>
            <w:tcW w:w="1114"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Квадратни метра</w:t>
            </w:r>
          </w:p>
        </w:tc>
        <w:tc>
          <w:tcPr>
            <w:tcW w:w="2718"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Тя е равна на общата новозастроена площ</w:t>
            </w:r>
          </w:p>
        </w:tc>
      </w:tr>
      <w:tr w:rsidR="00F469FD" w:rsidRPr="00F469FD" w:rsidTr="00F469FD">
        <w:trPr>
          <w:trHeight w:val="413"/>
          <w:jc w:val="center"/>
        </w:trPr>
        <w:tc>
          <w:tcPr>
            <w:tcW w:w="1367" w:type="dxa"/>
            <w:vMerge/>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spacing w:line="240" w:lineRule="auto"/>
              <w:jc w:val="left"/>
              <w:rPr>
                <w:rFonts w:ascii="Trebuchet MS" w:hAnsi="Trebuchet MS" w:cstheme="minorHAnsi"/>
                <w:sz w:val="18"/>
                <w:szCs w:val="18"/>
                <w:lang w:val="bg-BG"/>
              </w:rPr>
            </w:pP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MON6</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Общата площ на новосъздадените зелени площи в резултат на изпълнението на предложените действия</w:t>
            </w:r>
          </w:p>
        </w:tc>
        <w:tc>
          <w:tcPr>
            <w:tcW w:w="1710" w:type="dxa"/>
            <w:vMerge/>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spacing w:line="240" w:lineRule="auto"/>
              <w:rPr>
                <w:rFonts w:ascii="Trebuchet MS" w:hAnsi="Trebuchet MS" w:cstheme="minorHAnsi"/>
                <w:sz w:val="18"/>
                <w:szCs w:val="18"/>
                <w:lang w:val="bg-BG"/>
              </w:rPr>
            </w:pP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Колкото е възможно по-голяма</w:t>
            </w:r>
          </w:p>
        </w:tc>
        <w:tc>
          <w:tcPr>
            <w:tcW w:w="1114"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Квадратни метра</w:t>
            </w:r>
          </w:p>
        </w:tc>
        <w:tc>
          <w:tcPr>
            <w:tcW w:w="2718"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Тя е равна на общата площ с растителност във всеки проектен обект</w:t>
            </w:r>
          </w:p>
        </w:tc>
      </w:tr>
      <w:tr w:rsidR="00F469FD" w:rsidRPr="00F469FD" w:rsidTr="00F469FD">
        <w:trPr>
          <w:trHeight w:val="548"/>
          <w:jc w:val="center"/>
        </w:trPr>
        <w:tc>
          <w:tcPr>
            <w:tcW w:w="1367"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jc w:val="left"/>
              <w:rPr>
                <w:rFonts w:ascii="Trebuchet MS" w:hAnsi="Trebuchet MS" w:cstheme="minorHAnsi"/>
                <w:sz w:val="18"/>
                <w:szCs w:val="18"/>
                <w:lang w:val="bg-BG"/>
              </w:rPr>
            </w:pPr>
            <w:r w:rsidRPr="00F469FD">
              <w:rPr>
                <w:rFonts w:ascii="Trebuchet MS" w:hAnsi="Trebuchet MS" w:cstheme="minorHAnsi"/>
                <w:sz w:val="18"/>
                <w:szCs w:val="18"/>
                <w:lang w:val="bg-BG"/>
              </w:rPr>
              <w:t>REO 6 Въздух</w:t>
            </w: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MON7</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Брой зарядни станции за електрически превозни средства, реализирани в рамките на проекти за обособяване на обекти с туристически потенциал</w:t>
            </w:r>
          </w:p>
        </w:tc>
        <w:tc>
          <w:tcPr>
            <w:tcW w:w="171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theme="minorHAnsi"/>
                <w:sz w:val="18"/>
                <w:szCs w:val="18"/>
                <w:lang w:val="bg-BG"/>
              </w:rPr>
              <w:t>A13</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&gt; 0</w:t>
            </w:r>
          </w:p>
        </w:tc>
        <w:tc>
          <w:tcPr>
            <w:tcW w:w="1114"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Брой</w:t>
            </w:r>
          </w:p>
        </w:tc>
        <w:tc>
          <w:tcPr>
            <w:tcW w:w="2718" w:type="dxa"/>
            <w:tcBorders>
              <w:top w:val="single" w:sz="4" w:space="0" w:color="auto"/>
              <w:left w:val="single" w:sz="4" w:space="0" w:color="auto"/>
              <w:bottom w:val="single" w:sz="4" w:space="0" w:color="auto"/>
              <w:right w:val="single" w:sz="4" w:space="0" w:color="auto"/>
            </w:tcBorders>
          </w:tcPr>
          <w:p w:rsidR="00F469FD" w:rsidRPr="00F469FD" w:rsidRDefault="00F469FD" w:rsidP="00F469FD">
            <w:pPr>
              <w:pStyle w:val="ListParagraph"/>
              <w:numPr>
                <w:ilvl w:val="0"/>
                <w:numId w:val="13"/>
              </w:numPr>
              <w:spacing w:before="0" w:after="0"/>
              <w:jc w:val="center"/>
              <w:rPr>
                <w:rFonts w:ascii="Trebuchet MS" w:hAnsi="Trebuchet MS" w:cs="Arial"/>
                <w:color w:val="000000"/>
                <w:sz w:val="18"/>
                <w:szCs w:val="18"/>
                <w:shd w:val="clear" w:color="auto" w:fill="FFFFFF"/>
                <w:lang w:val="bg-BG"/>
              </w:rPr>
            </w:pPr>
          </w:p>
        </w:tc>
      </w:tr>
      <w:tr w:rsidR="00F469FD" w:rsidRPr="00F469FD" w:rsidTr="00F469FD">
        <w:trPr>
          <w:trHeight w:val="79"/>
          <w:jc w:val="center"/>
        </w:trPr>
        <w:tc>
          <w:tcPr>
            <w:tcW w:w="1367"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469FD">
            <w:pPr>
              <w:jc w:val="left"/>
              <w:rPr>
                <w:rFonts w:ascii="Trebuchet MS" w:hAnsi="Trebuchet MS" w:cstheme="minorHAnsi"/>
                <w:sz w:val="18"/>
                <w:szCs w:val="18"/>
                <w:lang w:val="bg-BG"/>
              </w:rPr>
            </w:pPr>
            <w:r w:rsidRPr="00F469FD">
              <w:rPr>
                <w:rFonts w:ascii="Trebuchet MS" w:hAnsi="Trebuchet MS" w:cstheme="minorHAnsi"/>
                <w:sz w:val="18"/>
                <w:szCs w:val="18"/>
                <w:lang w:val="bg-BG"/>
              </w:rPr>
              <w:lastRenderedPageBreak/>
              <w:t>REO 14 Кръгова икономика</w:t>
            </w:r>
          </w:p>
        </w:tc>
        <w:tc>
          <w:tcPr>
            <w:tcW w:w="72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MON8</w:t>
            </w:r>
          </w:p>
        </w:tc>
        <w:tc>
          <w:tcPr>
            <w:tcW w:w="558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rPr>
                <w:rFonts w:ascii="Trebuchet MS" w:hAnsi="Trebuchet MS" w:cstheme="minorHAnsi"/>
                <w:sz w:val="18"/>
                <w:szCs w:val="18"/>
                <w:lang w:val="bg-BG"/>
              </w:rPr>
            </w:pPr>
            <w:r w:rsidRPr="00F469FD">
              <w:rPr>
                <w:rFonts w:ascii="Trebuchet MS" w:hAnsi="Trebuchet MS" w:cstheme="minorHAnsi"/>
                <w:sz w:val="18"/>
                <w:szCs w:val="18"/>
                <w:lang w:val="bg-BG"/>
              </w:rPr>
              <w:t>Дял на проектите, в които са разработени Планове за управление на отпадъците</w:t>
            </w:r>
          </w:p>
        </w:tc>
        <w:tc>
          <w:tcPr>
            <w:tcW w:w="1710"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A1, A12 и A13</w:t>
            </w:r>
          </w:p>
        </w:tc>
        <w:tc>
          <w:tcPr>
            <w:tcW w:w="1103" w:type="dxa"/>
            <w:tcBorders>
              <w:top w:val="single" w:sz="4" w:space="0" w:color="auto"/>
              <w:left w:val="single" w:sz="4" w:space="0" w:color="auto"/>
              <w:bottom w:val="single" w:sz="4" w:space="0" w:color="auto"/>
              <w:right w:val="single" w:sz="4" w:space="0" w:color="auto"/>
            </w:tcBorders>
            <w:vAlign w:val="center"/>
            <w:hideMark/>
          </w:tcPr>
          <w:p w:rsidR="00F469FD" w:rsidRPr="00F469FD" w:rsidRDefault="00F469FD" w:rsidP="00F525A7">
            <w:pPr>
              <w:jc w:val="center"/>
              <w:rPr>
                <w:rFonts w:ascii="Trebuchet MS" w:hAnsi="Trebuchet MS" w:cstheme="minorHAnsi"/>
                <w:sz w:val="18"/>
                <w:szCs w:val="18"/>
                <w:lang w:val="bg-BG"/>
              </w:rPr>
            </w:pPr>
            <w:r w:rsidRPr="00F469FD">
              <w:rPr>
                <w:rFonts w:ascii="Trebuchet MS" w:hAnsi="Trebuchet MS" w:cs="Arial"/>
                <w:color w:val="000000"/>
                <w:sz w:val="18"/>
                <w:szCs w:val="18"/>
                <w:shd w:val="clear" w:color="auto" w:fill="FFFFFF"/>
                <w:lang w:val="bg-BG"/>
              </w:rPr>
              <w:t>&gt; 0 %</w:t>
            </w:r>
          </w:p>
        </w:tc>
        <w:tc>
          <w:tcPr>
            <w:tcW w:w="1114"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Процент</w:t>
            </w:r>
          </w:p>
        </w:tc>
        <w:tc>
          <w:tcPr>
            <w:tcW w:w="2718" w:type="dxa"/>
            <w:tcBorders>
              <w:top w:val="single" w:sz="4" w:space="0" w:color="auto"/>
              <w:left w:val="single" w:sz="4" w:space="0" w:color="auto"/>
              <w:bottom w:val="single" w:sz="4" w:space="0" w:color="auto"/>
              <w:right w:val="single" w:sz="4" w:space="0" w:color="auto"/>
            </w:tcBorders>
            <w:hideMark/>
          </w:tcPr>
          <w:p w:rsidR="00F469FD" w:rsidRPr="00F469FD" w:rsidRDefault="00F469FD" w:rsidP="00F525A7">
            <w:pPr>
              <w:jc w:val="center"/>
              <w:rPr>
                <w:rFonts w:ascii="Trebuchet MS" w:hAnsi="Trebuchet MS" w:cs="Arial"/>
                <w:color w:val="000000"/>
                <w:sz w:val="18"/>
                <w:szCs w:val="18"/>
                <w:shd w:val="clear" w:color="auto" w:fill="FFFFFF"/>
                <w:lang w:val="bg-BG"/>
              </w:rPr>
            </w:pPr>
            <w:r w:rsidRPr="00F469FD">
              <w:rPr>
                <w:rFonts w:ascii="Trebuchet MS" w:hAnsi="Trebuchet MS" w:cs="Arial"/>
                <w:color w:val="000000"/>
                <w:sz w:val="18"/>
                <w:szCs w:val="18"/>
                <w:shd w:val="clear" w:color="auto" w:fill="FFFFFF"/>
                <w:lang w:val="bg-BG"/>
              </w:rPr>
              <w:t>От общия брой проекти, съдържащи СМР</w:t>
            </w:r>
          </w:p>
        </w:tc>
      </w:tr>
    </w:tbl>
    <w:p w:rsidR="00EF39E8" w:rsidRPr="00D23996" w:rsidRDefault="00EF39E8" w:rsidP="00EF39E8">
      <w:pPr>
        <w:pStyle w:val="v2"/>
        <w:tabs>
          <w:tab w:val="clear" w:pos="720"/>
          <w:tab w:val="num" w:pos="142"/>
        </w:tabs>
        <w:ind w:left="0" w:hanging="11"/>
        <w:jc w:val="both"/>
        <w:rPr>
          <w:rFonts w:ascii="Trebuchet MS" w:eastAsia="Times New Roman" w:hAnsi="Trebuchet MS"/>
          <w:lang w:val="bg-BG" w:eastAsia="ro-RO"/>
        </w:rPr>
        <w:sectPr w:rsidR="00EF39E8" w:rsidRPr="00D23996" w:rsidSect="00EF39E8">
          <w:pgSz w:w="16838" w:h="11906" w:orient="landscape"/>
          <w:pgMar w:top="1418" w:right="1418" w:bottom="1418" w:left="1418" w:header="709" w:footer="709" w:gutter="0"/>
          <w:cols w:space="708"/>
          <w:docGrid w:linePitch="360"/>
        </w:sectPr>
      </w:pPr>
    </w:p>
    <w:p w:rsidR="00EF39E8" w:rsidRPr="00D23996" w:rsidRDefault="00EF39E8" w:rsidP="00EF39E8">
      <w:pPr>
        <w:pStyle w:val="v2"/>
        <w:tabs>
          <w:tab w:val="clear" w:pos="720"/>
          <w:tab w:val="num" w:pos="142"/>
        </w:tabs>
        <w:ind w:left="0" w:hanging="11"/>
        <w:jc w:val="both"/>
        <w:rPr>
          <w:rFonts w:ascii="Trebuchet MS" w:eastAsia="Times New Roman" w:hAnsi="Trebuchet MS"/>
          <w:lang w:val="bg-BG" w:eastAsia="ro-RO"/>
        </w:rPr>
      </w:pPr>
    </w:p>
    <w:p w:rsidR="00F2577B" w:rsidRPr="00D23996" w:rsidRDefault="00E542A7" w:rsidP="00E542A7">
      <w:pPr>
        <w:pStyle w:val="v2"/>
        <w:numPr>
          <w:ilvl w:val="0"/>
          <w:numId w:val="18"/>
        </w:numPr>
        <w:rPr>
          <w:rFonts w:ascii="Trebuchet MS" w:hAnsi="Trebuchet MS"/>
          <w:b/>
          <w:bCs/>
          <w:lang w:val="bg-BG" w:eastAsia="ar-SA"/>
        </w:rPr>
      </w:pPr>
      <w:r w:rsidRPr="00D23996">
        <w:rPr>
          <w:rFonts w:ascii="Trebuchet MS" w:hAnsi="Trebuchet MS"/>
          <w:b/>
          <w:bCs/>
          <w:lang w:val="bg-BG" w:eastAsia="ar-SA"/>
        </w:rPr>
        <w:t>Разглежда</w:t>
      </w:r>
      <w:r w:rsidR="00F469FD">
        <w:rPr>
          <w:rFonts w:ascii="Trebuchet MS" w:hAnsi="Trebuchet MS"/>
          <w:b/>
          <w:bCs/>
          <w:lang w:val="bg-BG" w:eastAsia="ar-SA"/>
        </w:rPr>
        <w:t>не на резултатите от консултациите</w:t>
      </w:r>
      <w:r w:rsidRPr="00D23996">
        <w:rPr>
          <w:rFonts w:ascii="Trebuchet MS" w:hAnsi="Trebuchet MS"/>
          <w:b/>
          <w:bCs/>
          <w:lang w:val="bg-BG" w:eastAsia="ar-SA"/>
        </w:rPr>
        <w:t xml:space="preserve"> при финализирането на екологичния доклад и програмата Interreg VI-A Румъния – България</w:t>
      </w:r>
    </w:p>
    <w:p w:rsidR="00E955CA" w:rsidRPr="00D23996" w:rsidRDefault="0083707B" w:rsidP="00B73E1B">
      <w:pPr>
        <w:pStyle w:val="ListParagraph"/>
        <w:ind w:left="0"/>
        <w:rPr>
          <w:rFonts w:ascii="Trebuchet MS" w:hAnsi="Trebuchet MS"/>
          <w:sz w:val="22"/>
          <w:szCs w:val="22"/>
          <w:lang w:val="bg-BG"/>
        </w:rPr>
      </w:pPr>
      <w:r w:rsidRPr="00D23996">
        <w:rPr>
          <w:rFonts w:ascii="Trebuchet MS" w:hAnsi="Trebuchet MS"/>
          <w:sz w:val="22"/>
          <w:szCs w:val="22"/>
          <w:lang w:val="bg-BG"/>
        </w:rPr>
        <w:t>Оценката на програмата не доведе до идентифициране на негативни значими въздействия върху околната среда и човешкото здраве. Всичко това са предпоставки ефектите от изпълнението на Програмата Interreg VI-A Румъния-България да генерират главно положително трансгранично въздействие поради факта, че стратегическите цели се отнасят до действия за взаимно свързване между двете страни, както и бъдещи действия/проекти ще трябва да бъдат разработени или в партньорство с две държави, или включва</w:t>
      </w:r>
      <w:r w:rsidR="00F469FD">
        <w:rPr>
          <w:rFonts w:ascii="Trebuchet MS" w:hAnsi="Trebuchet MS"/>
          <w:sz w:val="22"/>
          <w:szCs w:val="22"/>
          <w:lang w:val="bg-BG"/>
        </w:rPr>
        <w:t>йки</w:t>
      </w:r>
      <w:r w:rsidRPr="00D23996">
        <w:rPr>
          <w:rFonts w:ascii="Trebuchet MS" w:hAnsi="Trebuchet MS"/>
          <w:sz w:val="22"/>
          <w:szCs w:val="22"/>
          <w:lang w:val="bg-BG"/>
        </w:rPr>
        <w:t xml:space="preserve"> процес на консултации с властите и заинтересованите страни в съседната държава по време на разработването на проектите.</w:t>
      </w:r>
    </w:p>
    <w:p w:rsidR="00CE5017" w:rsidRPr="00D23996" w:rsidRDefault="0083707B" w:rsidP="00B73E1B">
      <w:pPr>
        <w:pStyle w:val="ListParagraph"/>
        <w:ind w:left="0"/>
        <w:rPr>
          <w:rFonts w:ascii="Trebuchet MS" w:hAnsi="Trebuchet MS"/>
          <w:sz w:val="22"/>
          <w:szCs w:val="22"/>
          <w:lang w:val="bg-BG"/>
        </w:rPr>
      </w:pPr>
      <w:r w:rsidRPr="00D23996">
        <w:rPr>
          <w:rFonts w:ascii="Trebuchet MS" w:hAnsi="Trebuchet MS"/>
          <w:sz w:val="22"/>
          <w:szCs w:val="22"/>
          <w:lang w:val="bg-BG"/>
        </w:rPr>
        <w:t>Следващата таблица представя коментарите/предложенията, получени от заинтересованите стра</w:t>
      </w:r>
      <w:r w:rsidR="00F469FD">
        <w:rPr>
          <w:rFonts w:ascii="Trebuchet MS" w:hAnsi="Trebuchet MS"/>
          <w:sz w:val="22"/>
          <w:szCs w:val="22"/>
          <w:lang w:val="bg-BG"/>
        </w:rPr>
        <w:t>ни по време на подготовката на е</w:t>
      </w:r>
      <w:r w:rsidRPr="00D23996">
        <w:rPr>
          <w:rFonts w:ascii="Trebuchet MS" w:hAnsi="Trebuchet MS"/>
          <w:sz w:val="22"/>
          <w:szCs w:val="22"/>
          <w:lang w:val="bg-BG"/>
        </w:rPr>
        <w:t>кологичния доклад и финализирането на програмата, както и по време на периода на обществените консултации.</w:t>
      </w:r>
    </w:p>
    <w:p w:rsidR="00EF39E8" w:rsidRPr="00D23996" w:rsidRDefault="00EF39E8" w:rsidP="00EF39E8">
      <w:pPr>
        <w:pStyle w:val="Caption"/>
        <w:keepNext/>
        <w:rPr>
          <w:lang w:val="bg-BG"/>
        </w:rPr>
      </w:pPr>
      <w:r w:rsidRPr="00D23996">
        <w:rPr>
          <w:lang w:val="bg-BG"/>
        </w:rPr>
        <w:t>Таблица</w:t>
      </w:r>
      <w:r w:rsidR="00F469FD">
        <w:rPr>
          <w:lang w:val="bg-BG"/>
        </w:rPr>
        <w:t xml:space="preserve"> </w:t>
      </w:r>
      <w:r w:rsidR="00AE4939" w:rsidRPr="00D23996">
        <w:rPr>
          <w:noProof/>
          <w:lang w:val="bg-BG"/>
        </w:rPr>
        <w:fldChar w:fldCharType="begin"/>
      </w:r>
      <w:r w:rsidR="00AE4939" w:rsidRPr="00D23996">
        <w:rPr>
          <w:noProof/>
          <w:lang w:val="bg-BG"/>
        </w:rPr>
        <w:instrText xml:space="preserve"> SEQ Table \* ARABIC </w:instrText>
      </w:r>
      <w:r w:rsidR="00AE4939" w:rsidRPr="00D23996">
        <w:rPr>
          <w:noProof/>
          <w:lang w:val="bg-BG"/>
        </w:rPr>
        <w:fldChar w:fldCharType="separate"/>
      </w:r>
      <w:r w:rsidR="00BB793F" w:rsidRPr="00D23996">
        <w:rPr>
          <w:noProof/>
          <w:lang w:val="bg-BG"/>
        </w:rPr>
        <w:t>2</w:t>
      </w:r>
      <w:r w:rsidR="00AE4939" w:rsidRPr="00D23996">
        <w:rPr>
          <w:noProof/>
          <w:lang w:val="bg-BG"/>
        </w:rPr>
        <w:fldChar w:fldCharType="end"/>
      </w:r>
      <w:r w:rsidR="00F469FD">
        <w:rPr>
          <w:noProof/>
          <w:lang w:val="bg-BG"/>
        </w:rPr>
        <w:t xml:space="preserve"> </w:t>
      </w:r>
      <w:r w:rsidRPr="00D23996">
        <w:rPr>
          <w:lang w:val="bg-BG"/>
        </w:rPr>
        <w:t>Коментари/предложения, получени след доклада за околната среда и програмата</w:t>
      </w:r>
    </w:p>
    <w:tbl>
      <w:tblPr>
        <w:tblStyle w:val="TableGrid"/>
        <w:tblW w:w="9192" w:type="dxa"/>
        <w:tblLook w:val="04A0" w:firstRow="1" w:lastRow="0" w:firstColumn="1" w:lastColumn="0" w:noHBand="0" w:noVBand="1"/>
      </w:tblPr>
      <w:tblGrid>
        <w:gridCol w:w="2358"/>
        <w:gridCol w:w="1080"/>
        <w:gridCol w:w="3493"/>
        <w:gridCol w:w="2261"/>
      </w:tblGrid>
      <w:tr w:rsidR="00237353" w:rsidRPr="00D23996" w:rsidTr="00F469FD">
        <w:trPr>
          <w:trHeight w:val="440"/>
        </w:trPr>
        <w:tc>
          <w:tcPr>
            <w:tcW w:w="2358" w:type="dxa"/>
            <w:vAlign w:val="center"/>
          </w:tcPr>
          <w:p w:rsidR="00237353" w:rsidRPr="00D23996" w:rsidRDefault="000D5474" w:rsidP="00D51B45">
            <w:pPr>
              <w:pStyle w:val="ListParagraph"/>
              <w:ind w:left="0"/>
              <w:jc w:val="center"/>
              <w:rPr>
                <w:rFonts w:ascii="Trebuchet MS" w:hAnsi="Trebuchet MS"/>
                <w:b/>
                <w:bCs/>
                <w:sz w:val="18"/>
                <w:szCs w:val="18"/>
                <w:lang w:val="bg-BG"/>
              </w:rPr>
            </w:pPr>
            <w:r w:rsidRPr="00D23996">
              <w:rPr>
                <w:rFonts w:ascii="Trebuchet MS" w:hAnsi="Trebuchet MS"/>
                <w:b/>
                <w:bCs/>
                <w:sz w:val="18"/>
                <w:szCs w:val="18"/>
                <w:lang w:val="bg-BG"/>
              </w:rPr>
              <w:t>Заинтересовани страни</w:t>
            </w:r>
          </w:p>
        </w:tc>
        <w:tc>
          <w:tcPr>
            <w:tcW w:w="1080" w:type="dxa"/>
            <w:vAlign w:val="center"/>
          </w:tcPr>
          <w:p w:rsidR="00237353" w:rsidRPr="00D23996" w:rsidRDefault="00F469FD" w:rsidP="00D51B45">
            <w:pPr>
              <w:pStyle w:val="ListParagraph"/>
              <w:ind w:left="0"/>
              <w:jc w:val="center"/>
              <w:rPr>
                <w:rFonts w:ascii="Trebuchet MS" w:hAnsi="Trebuchet MS"/>
                <w:b/>
                <w:bCs/>
                <w:sz w:val="18"/>
                <w:szCs w:val="18"/>
                <w:lang w:val="bg-BG"/>
              </w:rPr>
            </w:pPr>
            <w:r>
              <w:rPr>
                <w:rFonts w:ascii="Trebuchet MS" w:hAnsi="Trebuchet MS"/>
                <w:b/>
                <w:bCs/>
                <w:sz w:val="18"/>
                <w:szCs w:val="18"/>
                <w:lang w:val="bg-BG"/>
              </w:rPr>
              <w:t>С</w:t>
            </w:r>
            <w:r w:rsidR="000D5474" w:rsidRPr="00D23996">
              <w:rPr>
                <w:rFonts w:ascii="Trebuchet MS" w:hAnsi="Trebuchet MS"/>
                <w:b/>
                <w:bCs/>
                <w:sz w:val="18"/>
                <w:szCs w:val="18"/>
                <w:lang w:val="bg-BG"/>
              </w:rPr>
              <w:t>цена</w:t>
            </w:r>
          </w:p>
        </w:tc>
        <w:tc>
          <w:tcPr>
            <w:tcW w:w="3493" w:type="dxa"/>
            <w:vAlign w:val="center"/>
          </w:tcPr>
          <w:p w:rsidR="00237353" w:rsidRPr="00D23996" w:rsidRDefault="000D5474" w:rsidP="00D51B45">
            <w:pPr>
              <w:pStyle w:val="ListParagraph"/>
              <w:ind w:left="0"/>
              <w:jc w:val="center"/>
              <w:rPr>
                <w:rFonts w:ascii="Trebuchet MS" w:hAnsi="Trebuchet MS"/>
                <w:b/>
                <w:bCs/>
                <w:sz w:val="18"/>
                <w:szCs w:val="18"/>
                <w:lang w:val="bg-BG"/>
              </w:rPr>
            </w:pPr>
            <w:r w:rsidRPr="00D23996">
              <w:rPr>
                <w:rFonts w:ascii="Trebuchet MS" w:hAnsi="Trebuchet MS"/>
                <w:b/>
                <w:bCs/>
                <w:sz w:val="18"/>
                <w:szCs w:val="18"/>
                <w:lang w:val="bg-BG"/>
              </w:rPr>
              <w:t>Коментари/предложения</w:t>
            </w:r>
          </w:p>
        </w:tc>
        <w:tc>
          <w:tcPr>
            <w:tcW w:w="2261" w:type="dxa"/>
            <w:vAlign w:val="center"/>
          </w:tcPr>
          <w:p w:rsidR="00237353" w:rsidRPr="00D23996" w:rsidRDefault="000D5474" w:rsidP="005B2059">
            <w:pPr>
              <w:pStyle w:val="ListParagraph"/>
              <w:ind w:left="0"/>
              <w:jc w:val="center"/>
              <w:rPr>
                <w:rFonts w:ascii="Trebuchet MS" w:hAnsi="Trebuchet MS"/>
                <w:b/>
                <w:bCs/>
                <w:sz w:val="18"/>
                <w:szCs w:val="18"/>
                <w:lang w:val="bg-BG"/>
              </w:rPr>
            </w:pPr>
            <w:r w:rsidRPr="00D23996">
              <w:rPr>
                <w:rFonts w:ascii="Trebuchet MS" w:hAnsi="Trebuchet MS"/>
                <w:b/>
                <w:bCs/>
                <w:sz w:val="18"/>
                <w:szCs w:val="18"/>
                <w:lang w:val="bg-BG"/>
              </w:rPr>
              <w:t xml:space="preserve">Как предложенията са </w:t>
            </w:r>
            <w:r w:rsidR="005B2059">
              <w:rPr>
                <w:rFonts w:ascii="Trebuchet MS" w:hAnsi="Trebuchet MS"/>
                <w:b/>
                <w:bCs/>
                <w:sz w:val="18"/>
                <w:szCs w:val="18"/>
                <w:lang w:val="bg-BG"/>
              </w:rPr>
              <w:t>включени</w:t>
            </w:r>
            <w:r w:rsidRPr="00D23996">
              <w:rPr>
                <w:rFonts w:ascii="Trebuchet MS" w:hAnsi="Trebuchet MS"/>
                <w:b/>
                <w:bCs/>
                <w:sz w:val="18"/>
                <w:szCs w:val="18"/>
                <w:lang w:val="bg-BG"/>
              </w:rPr>
              <w:t xml:space="preserve"> в доклада за околната среда/програмата</w:t>
            </w:r>
          </w:p>
        </w:tc>
      </w:tr>
      <w:tr w:rsidR="00ED1795" w:rsidRPr="00D23996" w:rsidTr="00F469FD">
        <w:trPr>
          <w:trHeight w:val="1091"/>
        </w:trPr>
        <w:tc>
          <w:tcPr>
            <w:tcW w:w="2358" w:type="dxa"/>
            <w:vMerge w:val="restart"/>
            <w:vAlign w:val="center"/>
          </w:tcPr>
          <w:p w:rsidR="00ED1795" w:rsidRPr="00D23996" w:rsidRDefault="000D5474" w:rsidP="00F469FD">
            <w:pPr>
              <w:pStyle w:val="ListParagraph"/>
              <w:ind w:left="0"/>
              <w:jc w:val="left"/>
              <w:rPr>
                <w:rFonts w:ascii="Trebuchet MS" w:hAnsi="Trebuchet MS"/>
                <w:sz w:val="18"/>
                <w:szCs w:val="18"/>
                <w:lang w:val="bg-BG"/>
              </w:rPr>
            </w:pPr>
            <w:r w:rsidRPr="00D23996">
              <w:rPr>
                <w:rFonts w:ascii="Trebuchet MS" w:hAnsi="Trebuchet MS"/>
                <w:sz w:val="18"/>
                <w:szCs w:val="18"/>
                <w:lang w:val="bg-BG"/>
              </w:rPr>
              <w:t>Министерство на водите</w:t>
            </w:r>
            <w:r w:rsidR="00F469FD">
              <w:rPr>
                <w:rFonts w:ascii="Trebuchet MS" w:hAnsi="Trebuchet MS"/>
                <w:sz w:val="18"/>
                <w:szCs w:val="18"/>
                <w:lang w:val="bg-BG"/>
              </w:rPr>
              <w:t xml:space="preserve">, околната среда </w:t>
            </w:r>
            <w:r w:rsidRPr="00D23996">
              <w:rPr>
                <w:rFonts w:ascii="Trebuchet MS" w:hAnsi="Trebuchet MS"/>
                <w:sz w:val="18"/>
                <w:szCs w:val="18"/>
                <w:lang w:val="bg-BG"/>
              </w:rPr>
              <w:t xml:space="preserve"> и горите (дирекция „Оценка на въздействието и контрол на замърсяването“)</w:t>
            </w:r>
          </w:p>
        </w:tc>
        <w:tc>
          <w:tcPr>
            <w:tcW w:w="1080" w:type="dxa"/>
            <w:vMerge w:val="restart"/>
            <w:vAlign w:val="center"/>
          </w:tcPr>
          <w:p w:rsidR="00ED1795" w:rsidRPr="00D23996" w:rsidRDefault="000D5474" w:rsidP="00D51B45">
            <w:pPr>
              <w:pStyle w:val="ListParagraph"/>
              <w:ind w:left="0"/>
              <w:jc w:val="center"/>
              <w:rPr>
                <w:rFonts w:ascii="Trebuchet MS" w:hAnsi="Trebuchet MS"/>
                <w:sz w:val="18"/>
                <w:szCs w:val="18"/>
                <w:lang w:val="bg-BG"/>
              </w:rPr>
            </w:pPr>
            <w:r w:rsidRPr="00D23996">
              <w:rPr>
                <w:rFonts w:ascii="Trebuchet MS" w:hAnsi="Trebuchet MS"/>
                <w:sz w:val="18"/>
                <w:szCs w:val="18"/>
                <w:lang w:val="bg-BG"/>
              </w:rPr>
              <w:t>Работна група</w:t>
            </w:r>
          </w:p>
        </w:tc>
        <w:tc>
          <w:tcPr>
            <w:tcW w:w="3493" w:type="dxa"/>
            <w:vAlign w:val="center"/>
          </w:tcPr>
          <w:p w:rsidR="00ED1795" w:rsidRPr="00D23996" w:rsidRDefault="000D5474" w:rsidP="005B2059">
            <w:pPr>
              <w:jc w:val="left"/>
              <w:rPr>
                <w:rFonts w:ascii="Trebuchet MS" w:hAnsi="Trebuchet MS"/>
                <w:sz w:val="18"/>
                <w:szCs w:val="18"/>
                <w:lang w:val="bg-BG"/>
              </w:rPr>
            </w:pPr>
            <w:r w:rsidRPr="00D23996">
              <w:rPr>
                <w:rFonts w:ascii="Trebuchet MS" w:hAnsi="Trebuchet MS"/>
                <w:sz w:val="18"/>
                <w:szCs w:val="18"/>
                <w:lang w:val="bg-BG"/>
              </w:rPr>
              <w:t>Въвеждане на два екологични аспекта „Управление на риска” и „Информираност на населението”;</w:t>
            </w:r>
          </w:p>
        </w:tc>
        <w:tc>
          <w:tcPr>
            <w:tcW w:w="2261"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Наблюденията са </w:t>
            </w:r>
            <w:r w:rsidR="005B2059">
              <w:rPr>
                <w:rFonts w:ascii="Trebuchet MS" w:hAnsi="Trebuchet MS"/>
                <w:sz w:val="18"/>
                <w:szCs w:val="18"/>
                <w:lang w:val="bg-BG"/>
              </w:rPr>
              <w:t>включени</w:t>
            </w:r>
            <w:r w:rsidRPr="00D23996">
              <w:rPr>
                <w:rFonts w:ascii="Trebuchet MS" w:hAnsi="Trebuchet MS"/>
                <w:sz w:val="18"/>
                <w:szCs w:val="18"/>
                <w:lang w:val="bg-BG"/>
              </w:rPr>
              <w:t xml:space="preserve"> в глава 3.</w:t>
            </w:r>
          </w:p>
        </w:tc>
      </w:tr>
      <w:tr w:rsidR="00ED1795" w:rsidRPr="00D23996" w:rsidTr="00F469FD">
        <w:trPr>
          <w:trHeight w:val="440"/>
        </w:trPr>
        <w:tc>
          <w:tcPr>
            <w:tcW w:w="2358"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Преформулиране на съответните екологични цели REO2, REO3, REO5 и REO15;</w:t>
            </w:r>
          </w:p>
        </w:tc>
        <w:tc>
          <w:tcPr>
            <w:tcW w:w="2261"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Наблюденията са </w:t>
            </w:r>
            <w:r w:rsidR="005B2059">
              <w:rPr>
                <w:rFonts w:ascii="Trebuchet MS" w:hAnsi="Trebuchet MS"/>
                <w:sz w:val="18"/>
                <w:szCs w:val="18"/>
                <w:lang w:val="bg-BG"/>
              </w:rPr>
              <w:t>включени</w:t>
            </w:r>
            <w:r w:rsidRPr="00D23996">
              <w:rPr>
                <w:rFonts w:ascii="Trebuchet MS" w:hAnsi="Trebuchet MS"/>
                <w:sz w:val="18"/>
                <w:szCs w:val="18"/>
                <w:lang w:val="bg-BG"/>
              </w:rPr>
              <w:t xml:space="preserve"> в глава 6.</w:t>
            </w:r>
          </w:p>
        </w:tc>
      </w:tr>
      <w:tr w:rsidR="00ED1795" w:rsidRPr="00D23996" w:rsidTr="00F469FD">
        <w:trPr>
          <w:trHeight w:val="440"/>
        </w:trPr>
        <w:tc>
          <w:tcPr>
            <w:tcW w:w="2358"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F469FD" w:rsidP="005B2059">
            <w:pPr>
              <w:pStyle w:val="ListParagraph"/>
              <w:ind w:left="0"/>
              <w:jc w:val="left"/>
              <w:rPr>
                <w:rFonts w:ascii="Trebuchet MS" w:hAnsi="Trebuchet MS"/>
                <w:sz w:val="18"/>
                <w:szCs w:val="18"/>
                <w:lang w:val="bg-BG"/>
              </w:rPr>
            </w:pPr>
            <w:r>
              <w:rPr>
                <w:rFonts w:ascii="Trebuchet MS" w:hAnsi="Trebuchet MS"/>
                <w:sz w:val="18"/>
                <w:szCs w:val="18"/>
                <w:lang w:val="bg-BG"/>
              </w:rPr>
              <w:t>Въвеждане на нов</w:t>
            </w:r>
            <w:r w:rsidR="000D5474" w:rsidRPr="00D23996">
              <w:rPr>
                <w:rFonts w:ascii="Trebuchet MS" w:hAnsi="Trebuchet MS"/>
                <w:sz w:val="18"/>
                <w:szCs w:val="18"/>
                <w:lang w:val="bg-BG"/>
              </w:rPr>
              <w:t xml:space="preserve"> под</w:t>
            </w:r>
            <w:r>
              <w:rPr>
                <w:rFonts w:ascii="Trebuchet MS" w:hAnsi="Trebuchet MS"/>
                <w:sz w:val="18"/>
                <w:szCs w:val="18"/>
                <w:lang w:val="bg-BG"/>
              </w:rPr>
              <w:t>раздел</w:t>
            </w:r>
            <w:r w:rsidR="000D5474" w:rsidRPr="00D23996">
              <w:rPr>
                <w:rFonts w:ascii="Trebuchet MS" w:hAnsi="Trebuchet MS"/>
                <w:sz w:val="18"/>
                <w:szCs w:val="18"/>
                <w:lang w:val="bg-BG"/>
              </w:rPr>
              <w:t xml:space="preserve"> „Кумулативни ефекти“</w:t>
            </w:r>
          </w:p>
        </w:tc>
        <w:tc>
          <w:tcPr>
            <w:tcW w:w="2261"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Наблюденията са включени в раздел 8.2.</w:t>
            </w:r>
          </w:p>
        </w:tc>
      </w:tr>
      <w:tr w:rsidR="00ED1795" w:rsidRPr="00D23996" w:rsidTr="00F469FD">
        <w:trPr>
          <w:trHeight w:val="440"/>
        </w:trPr>
        <w:tc>
          <w:tcPr>
            <w:tcW w:w="2358"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Въвеждане на нова глава „Трудности при анализа</w:t>
            </w:r>
            <w:r w:rsidR="00F469FD">
              <w:rPr>
                <w:rFonts w:ascii="Trebuchet MS" w:hAnsi="Trebuchet MS"/>
                <w:sz w:val="18"/>
                <w:szCs w:val="18"/>
                <w:lang w:val="bg-BG"/>
              </w:rPr>
              <w:t xml:space="preserve"> з</w:t>
            </w:r>
            <w:r w:rsidRPr="00D23996">
              <w:rPr>
                <w:rFonts w:ascii="Trebuchet MS" w:hAnsi="Trebuchet MS"/>
                <w:sz w:val="18"/>
                <w:szCs w:val="18"/>
                <w:lang w:val="bg-BG"/>
              </w:rPr>
              <w:t>а СЕО“</w:t>
            </w:r>
          </w:p>
        </w:tc>
        <w:tc>
          <w:tcPr>
            <w:tcW w:w="2261" w:type="dxa"/>
            <w:vAlign w:val="center"/>
          </w:tcPr>
          <w:p w:rsidR="00ED1795" w:rsidRPr="00D23996" w:rsidRDefault="000D5474"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Наблюденията са </w:t>
            </w:r>
            <w:r w:rsidR="005B2059">
              <w:rPr>
                <w:rFonts w:ascii="Trebuchet MS" w:hAnsi="Trebuchet MS"/>
                <w:sz w:val="18"/>
                <w:szCs w:val="18"/>
                <w:lang w:val="bg-BG"/>
              </w:rPr>
              <w:t>включени</w:t>
            </w:r>
            <w:r w:rsidRPr="00D23996">
              <w:rPr>
                <w:rFonts w:ascii="Trebuchet MS" w:hAnsi="Trebuchet MS"/>
                <w:sz w:val="18"/>
                <w:szCs w:val="18"/>
                <w:lang w:val="bg-BG"/>
              </w:rPr>
              <w:t xml:space="preserve"> в новата глава 12.</w:t>
            </w:r>
          </w:p>
        </w:tc>
      </w:tr>
      <w:tr w:rsidR="00ED1795" w:rsidRPr="00D23996" w:rsidTr="00F469FD">
        <w:trPr>
          <w:trHeight w:val="440"/>
        </w:trPr>
        <w:tc>
          <w:tcPr>
            <w:tcW w:w="2358"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Преглед на съвместимостта между целите на програмата и целите на </w:t>
            </w:r>
            <w:r w:rsidR="00F469FD">
              <w:rPr>
                <w:rFonts w:ascii="Trebuchet MS" w:hAnsi="Trebuchet MS"/>
                <w:sz w:val="18"/>
                <w:szCs w:val="18"/>
                <w:lang w:val="bg-BG"/>
              </w:rPr>
              <w:t>СЕО</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Наблюденията са включени в раздел 7.2.2.</w:t>
            </w:r>
          </w:p>
        </w:tc>
      </w:tr>
      <w:tr w:rsidR="00ED1795" w:rsidRPr="00D23996" w:rsidTr="00F469FD">
        <w:trPr>
          <w:trHeight w:val="440"/>
        </w:trPr>
        <w:tc>
          <w:tcPr>
            <w:tcW w:w="2358"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Представяне на заключения за текущото състояние на околната среда и Алтернатива "0"</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Наблюденията са включени в раздел 3.2.</w:t>
            </w:r>
          </w:p>
        </w:tc>
      </w:tr>
      <w:tr w:rsidR="00ED1795" w:rsidRPr="00D23996" w:rsidTr="00F469FD">
        <w:trPr>
          <w:trHeight w:val="440"/>
        </w:trPr>
        <w:tc>
          <w:tcPr>
            <w:tcW w:w="2358" w:type="dxa"/>
            <w:vAlign w:val="center"/>
          </w:tcPr>
          <w:p w:rsidR="00ED1795" w:rsidRPr="00D23996" w:rsidRDefault="00FB01BC" w:rsidP="00F469FD">
            <w:pPr>
              <w:pStyle w:val="ListParagraph"/>
              <w:ind w:left="0"/>
              <w:jc w:val="left"/>
              <w:rPr>
                <w:rFonts w:ascii="Trebuchet MS" w:hAnsi="Trebuchet MS"/>
                <w:sz w:val="18"/>
                <w:szCs w:val="18"/>
                <w:lang w:val="bg-BG"/>
              </w:rPr>
            </w:pPr>
            <w:r w:rsidRPr="00D23996">
              <w:rPr>
                <w:rFonts w:ascii="Trebuchet MS" w:hAnsi="Trebuchet MS"/>
                <w:sz w:val="18"/>
                <w:szCs w:val="18"/>
                <w:lang w:val="bg-BG"/>
              </w:rPr>
              <w:t>Министерство на здравеопазването</w:t>
            </w: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Преформулиране на подглава 3.1.3.6 и дефиниране на понятията: заболяване, разпространение и заболеваемост.</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Наблюденията са включени в раздел 3.1.3.</w:t>
            </w:r>
          </w:p>
        </w:tc>
      </w:tr>
      <w:tr w:rsidR="00ED1795" w:rsidRPr="00D23996" w:rsidTr="00F469FD">
        <w:trPr>
          <w:trHeight w:val="440"/>
        </w:trPr>
        <w:tc>
          <w:tcPr>
            <w:tcW w:w="2358" w:type="dxa"/>
            <w:vAlign w:val="center"/>
          </w:tcPr>
          <w:p w:rsidR="00ED1795" w:rsidRPr="00D23996" w:rsidRDefault="00FB01BC" w:rsidP="00F469FD">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Министерство на водите, околната среда и горите </w:t>
            </w:r>
            <w:r w:rsidRPr="00D23996">
              <w:rPr>
                <w:rFonts w:ascii="Trebuchet MS" w:hAnsi="Trebuchet MS"/>
                <w:sz w:val="18"/>
                <w:szCs w:val="18"/>
                <w:lang w:val="bg-BG"/>
              </w:rPr>
              <w:lastRenderedPageBreak/>
              <w:t>(Дирекция „Управление на водните ресурси“)</w:t>
            </w:r>
          </w:p>
        </w:tc>
        <w:tc>
          <w:tcPr>
            <w:tcW w:w="1080" w:type="dxa"/>
            <w:vMerge/>
            <w:vAlign w:val="center"/>
          </w:tcPr>
          <w:p w:rsidR="00ED1795" w:rsidRPr="00D23996" w:rsidRDefault="00ED1795" w:rsidP="00B73E1B">
            <w:pPr>
              <w:pStyle w:val="ListParagraph"/>
              <w:ind w:left="0"/>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Промяна на легендата за определени карти и описание на санитарно-охранителните зони в района на </w:t>
            </w:r>
            <w:r w:rsidRPr="00D23996">
              <w:rPr>
                <w:rFonts w:ascii="Trebuchet MS" w:hAnsi="Trebuchet MS"/>
                <w:sz w:val="18"/>
                <w:szCs w:val="18"/>
                <w:lang w:val="bg-BG"/>
              </w:rPr>
              <w:lastRenderedPageBreak/>
              <w:t>програмата</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lastRenderedPageBreak/>
              <w:t xml:space="preserve">Наблюденията са включени в раздел </w:t>
            </w:r>
            <w:r w:rsidRPr="00D23996">
              <w:rPr>
                <w:rFonts w:ascii="Trebuchet MS" w:hAnsi="Trebuchet MS"/>
                <w:sz w:val="18"/>
                <w:szCs w:val="18"/>
                <w:lang w:val="bg-BG"/>
              </w:rPr>
              <w:lastRenderedPageBreak/>
              <w:t>3.1.5.</w:t>
            </w:r>
          </w:p>
        </w:tc>
      </w:tr>
      <w:tr w:rsidR="00ED1795" w:rsidRPr="00D23996" w:rsidTr="00F469FD">
        <w:trPr>
          <w:trHeight w:val="440"/>
        </w:trPr>
        <w:tc>
          <w:tcPr>
            <w:tcW w:w="2358" w:type="dxa"/>
            <w:vMerge w:val="restart"/>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lastRenderedPageBreak/>
              <w:t>Министерство на културата</w:t>
            </w:r>
          </w:p>
        </w:tc>
        <w:tc>
          <w:tcPr>
            <w:tcW w:w="1080" w:type="dxa"/>
            <w:vMerge/>
            <w:vAlign w:val="center"/>
          </w:tcPr>
          <w:p w:rsidR="00ED1795" w:rsidRPr="00D23996" w:rsidRDefault="00ED1795" w:rsidP="005B2059">
            <w:pPr>
              <w:pStyle w:val="ListParagraph"/>
              <w:ind w:left="0"/>
              <w:jc w:val="left"/>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 xml:space="preserve">Въвеждане на приноси </w:t>
            </w:r>
            <w:r w:rsidR="005B2059">
              <w:rPr>
                <w:rFonts w:ascii="Trebuchet MS" w:hAnsi="Trebuchet MS"/>
                <w:sz w:val="18"/>
                <w:szCs w:val="18"/>
                <w:lang w:val="bg-BG"/>
              </w:rPr>
              <w:t>в е</w:t>
            </w:r>
            <w:r w:rsidRPr="00D23996">
              <w:rPr>
                <w:rFonts w:ascii="Trebuchet MS" w:hAnsi="Trebuchet MS"/>
                <w:sz w:val="18"/>
                <w:szCs w:val="18"/>
                <w:lang w:val="bg-BG"/>
              </w:rPr>
              <w:t>кологичния доклад за елементите на културното наследство в програмната територия и информация за музеи и колекции.</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Наблюденията са включени в раздел 3.1.10.</w:t>
            </w:r>
          </w:p>
        </w:tc>
      </w:tr>
      <w:tr w:rsidR="00ED1795" w:rsidRPr="00D23996" w:rsidTr="00F469FD">
        <w:trPr>
          <w:trHeight w:val="440"/>
        </w:trPr>
        <w:tc>
          <w:tcPr>
            <w:tcW w:w="2358" w:type="dxa"/>
            <w:vMerge/>
            <w:vAlign w:val="center"/>
          </w:tcPr>
          <w:p w:rsidR="00ED1795" w:rsidRPr="00D23996" w:rsidRDefault="00ED1795" w:rsidP="005B2059">
            <w:pPr>
              <w:pStyle w:val="ListParagraph"/>
              <w:ind w:left="0"/>
              <w:jc w:val="left"/>
              <w:rPr>
                <w:rFonts w:ascii="Trebuchet MS" w:hAnsi="Trebuchet MS"/>
                <w:sz w:val="18"/>
                <w:szCs w:val="18"/>
                <w:lang w:val="bg-BG"/>
              </w:rPr>
            </w:pPr>
          </w:p>
        </w:tc>
        <w:tc>
          <w:tcPr>
            <w:tcW w:w="1080" w:type="dxa"/>
            <w:vMerge/>
            <w:vAlign w:val="center"/>
          </w:tcPr>
          <w:p w:rsidR="00ED1795" w:rsidRPr="00D23996" w:rsidRDefault="00ED1795" w:rsidP="005B2059">
            <w:pPr>
              <w:pStyle w:val="ListParagraph"/>
              <w:ind w:left="0"/>
              <w:jc w:val="left"/>
              <w:rPr>
                <w:rFonts w:ascii="Trebuchet MS" w:hAnsi="Trebuchet MS"/>
                <w:sz w:val="18"/>
                <w:szCs w:val="18"/>
                <w:lang w:val="bg-BG"/>
              </w:rPr>
            </w:pPr>
          </w:p>
        </w:tc>
        <w:tc>
          <w:tcPr>
            <w:tcW w:w="3493"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Преформулиране на специфичната цел 5.2 на програмата, за да се подчертае по-добре културното наследство</w:t>
            </w:r>
          </w:p>
        </w:tc>
        <w:tc>
          <w:tcPr>
            <w:tcW w:w="2261" w:type="dxa"/>
            <w:vAlign w:val="center"/>
          </w:tcPr>
          <w:p w:rsidR="00ED1795" w:rsidRPr="00D23996" w:rsidRDefault="00FB01BC" w:rsidP="005B2059">
            <w:pPr>
              <w:pStyle w:val="ListParagraph"/>
              <w:ind w:left="0"/>
              <w:jc w:val="left"/>
              <w:rPr>
                <w:rFonts w:ascii="Trebuchet MS" w:hAnsi="Trebuchet MS"/>
                <w:sz w:val="18"/>
                <w:szCs w:val="18"/>
                <w:lang w:val="bg-BG"/>
              </w:rPr>
            </w:pPr>
            <w:r w:rsidRPr="00D23996">
              <w:rPr>
                <w:rFonts w:ascii="Trebuchet MS" w:hAnsi="Trebuchet MS"/>
                <w:sz w:val="18"/>
                <w:szCs w:val="18"/>
                <w:lang w:val="bg-BG"/>
              </w:rPr>
              <w:t>Преформулирането на конкретни цели не е възможно, тъй като те са определени от регламентите на ЕС.</w:t>
            </w:r>
          </w:p>
        </w:tc>
      </w:tr>
    </w:tbl>
    <w:p w:rsidR="006C5DD1" w:rsidRPr="00D23996" w:rsidRDefault="006C5DD1" w:rsidP="0081355E">
      <w:pPr>
        <w:pStyle w:val="ListParagraph"/>
        <w:ind w:left="0"/>
        <w:rPr>
          <w:rFonts w:ascii="Trebuchet MS" w:hAnsi="Trebuchet MS"/>
          <w:sz w:val="22"/>
          <w:szCs w:val="22"/>
          <w:lang w:val="bg-BG"/>
        </w:rPr>
      </w:pPr>
    </w:p>
    <w:p w:rsidR="005647AE" w:rsidRPr="00D23996" w:rsidRDefault="005647AE">
      <w:pPr>
        <w:spacing w:before="0" w:after="160" w:line="259" w:lineRule="auto"/>
        <w:jc w:val="left"/>
        <w:rPr>
          <w:rFonts w:asciiTheme="majorHAnsi" w:eastAsiaTheme="majorEastAsia" w:hAnsiTheme="majorHAnsi" w:cstheme="majorBidi"/>
          <w:color w:val="2F5496" w:themeColor="accent1" w:themeShade="BF"/>
          <w:sz w:val="32"/>
          <w:szCs w:val="32"/>
          <w:highlight w:val="lightGray"/>
          <w:lang w:val="bg-BG"/>
        </w:rPr>
      </w:pPr>
      <w:r w:rsidRPr="00D23996">
        <w:rPr>
          <w:highlight w:val="lightGray"/>
          <w:lang w:val="bg-BG"/>
        </w:rPr>
        <w:br w:type="page"/>
      </w:r>
    </w:p>
    <w:p w:rsidR="00FC3456" w:rsidRPr="00D23996" w:rsidRDefault="00FC3456" w:rsidP="00555631">
      <w:pPr>
        <w:pStyle w:val="Heading2"/>
        <w:rPr>
          <w:sz w:val="32"/>
          <w:szCs w:val="32"/>
          <w:lang w:val="bg-BG"/>
        </w:rPr>
      </w:pPr>
      <w:r w:rsidRPr="00D23996">
        <w:rPr>
          <w:sz w:val="32"/>
          <w:szCs w:val="32"/>
          <w:lang w:val="bg-BG"/>
        </w:rPr>
        <w:lastRenderedPageBreak/>
        <w:t>Приложение</w:t>
      </w:r>
    </w:p>
    <w:p w:rsidR="00717F2F" w:rsidRPr="00D23996" w:rsidRDefault="00FC3456" w:rsidP="00555631">
      <w:pPr>
        <w:pStyle w:val="Heading2"/>
        <w:rPr>
          <w:lang w:val="bg-BG"/>
        </w:rPr>
      </w:pPr>
      <w:r w:rsidRPr="00D23996">
        <w:rPr>
          <w:lang w:val="bg-BG"/>
        </w:rPr>
        <w:t>Приложение 1. Анонс - етап на рамкиране</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67"/>
      </w:tblGrid>
      <w:tr w:rsidR="00717F2F" w:rsidRPr="00D23996" w:rsidTr="00A7612F">
        <w:trPr>
          <w:trHeight w:val="491"/>
          <w:jc w:val="center"/>
        </w:trPr>
        <w:tc>
          <w:tcPr>
            <w:tcW w:w="8867" w:type="dxa"/>
          </w:tcPr>
          <w:p w:rsidR="00717F2F" w:rsidRPr="00D23996" w:rsidRDefault="00FC3456" w:rsidP="00717F2F">
            <w:pPr>
              <w:jc w:val="left"/>
              <w:rPr>
                <w:rFonts w:ascii="Trebuchet MS" w:hAnsi="Trebuchet MS"/>
                <w:lang w:val="bg-BG"/>
              </w:rPr>
            </w:pPr>
            <w:r w:rsidRPr="00D23996">
              <w:rPr>
                <w:rFonts w:ascii="Trebuchet MS" w:hAnsi="Trebuchet MS"/>
                <w:lang w:val="bg-BG"/>
              </w:rPr>
              <w:t>Съобщение 1</w:t>
            </w:r>
          </w:p>
        </w:tc>
      </w:tr>
      <w:tr w:rsidR="00717F2F" w:rsidRPr="00D23996" w:rsidTr="00A7612F">
        <w:trPr>
          <w:trHeight w:val="7133"/>
          <w:jc w:val="center"/>
        </w:trPr>
        <w:tc>
          <w:tcPr>
            <w:tcW w:w="8867" w:type="dxa"/>
          </w:tcPr>
          <w:p w:rsidR="00717F2F" w:rsidRPr="00D23996" w:rsidRDefault="00717F2F" w:rsidP="00717F2F">
            <w:pPr>
              <w:jc w:val="center"/>
              <w:rPr>
                <w:rFonts w:ascii="Trebuchet MS" w:hAnsi="Trebuchet MS"/>
                <w:lang w:val="bg-BG"/>
              </w:rPr>
            </w:pPr>
            <w:r w:rsidRPr="00D23996">
              <w:rPr>
                <w:rFonts w:ascii="Trebuchet MS" w:hAnsi="Trebuchet MS"/>
                <w:noProof/>
                <w:lang w:val="en-US" w:eastAsia="en-US"/>
              </w:rPr>
              <w:drawing>
                <wp:inline distT="0" distB="0" distL="0" distR="0" wp14:anchorId="230FB866" wp14:editId="2D21F521">
                  <wp:extent cx="5353050" cy="4788006"/>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r="40496" b="5294"/>
                          <a:stretch/>
                        </pic:blipFill>
                        <pic:spPr bwMode="auto">
                          <a:xfrm>
                            <a:off x="0" y="0"/>
                            <a:ext cx="5355652" cy="47903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17F2F" w:rsidRPr="00D23996" w:rsidTr="00A7612F">
        <w:trPr>
          <w:trHeight w:val="491"/>
          <w:jc w:val="center"/>
        </w:trPr>
        <w:tc>
          <w:tcPr>
            <w:tcW w:w="8867" w:type="dxa"/>
          </w:tcPr>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5B2059" w:rsidRDefault="005B2059" w:rsidP="00717F2F">
            <w:pPr>
              <w:jc w:val="left"/>
              <w:rPr>
                <w:rFonts w:ascii="Trebuchet MS" w:hAnsi="Trebuchet MS"/>
                <w:lang w:val="bg-BG"/>
              </w:rPr>
            </w:pPr>
          </w:p>
          <w:p w:rsidR="00717F2F" w:rsidRPr="00D23996" w:rsidRDefault="00FC3456" w:rsidP="00717F2F">
            <w:pPr>
              <w:jc w:val="left"/>
              <w:rPr>
                <w:rFonts w:ascii="Trebuchet MS" w:hAnsi="Trebuchet MS"/>
                <w:lang w:val="bg-BG"/>
              </w:rPr>
            </w:pPr>
            <w:r w:rsidRPr="00D23996">
              <w:rPr>
                <w:rFonts w:ascii="Trebuchet MS" w:hAnsi="Trebuchet MS"/>
                <w:lang w:val="bg-BG"/>
              </w:rPr>
              <w:lastRenderedPageBreak/>
              <w:t>Съобщение 2</w:t>
            </w:r>
          </w:p>
        </w:tc>
      </w:tr>
      <w:tr w:rsidR="00717F2F" w:rsidRPr="00D23996" w:rsidTr="00A7612F">
        <w:trPr>
          <w:trHeight w:val="7925"/>
          <w:jc w:val="center"/>
        </w:trPr>
        <w:tc>
          <w:tcPr>
            <w:tcW w:w="8867" w:type="dxa"/>
          </w:tcPr>
          <w:p w:rsidR="00717F2F" w:rsidRPr="00D23996" w:rsidRDefault="00717F2F" w:rsidP="00717F2F">
            <w:pPr>
              <w:jc w:val="center"/>
              <w:rPr>
                <w:rFonts w:ascii="Trebuchet MS" w:hAnsi="Trebuchet MS"/>
                <w:lang w:val="bg-BG"/>
              </w:rPr>
            </w:pPr>
            <w:r w:rsidRPr="00D23996">
              <w:rPr>
                <w:rFonts w:ascii="Trebuchet MS" w:hAnsi="Trebuchet MS"/>
                <w:noProof/>
                <w:lang w:val="en-US" w:eastAsia="en-US"/>
              </w:rPr>
              <w:lastRenderedPageBreak/>
              <w:drawing>
                <wp:inline distT="0" distB="0" distL="0" distR="0" wp14:anchorId="0AC5B5D4" wp14:editId="5DDD3A64">
                  <wp:extent cx="5000625" cy="5343525"/>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39871"/>
                          <a:stretch/>
                        </pic:blipFill>
                        <pic:spPr bwMode="auto">
                          <a:xfrm>
                            <a:off x="0" y="0"/>
                            <a:ext cx="5000625" cy="53435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28444E" w:rsidRPr="00D23996" w:rsidRDefault="0028444E" w:rsidP="00E5444B">
      <w:pPr>
        <w:rPr>
          <w:lang w:val="bg-BG"/>
        </w:rPr>
      </w:pPr>
    </w:p>
    <w:p w:rsidR="0028444E" w:rsidRPr="00D23996" w:rsidRDefault="0028444E"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F4169D" w:rsidRPr="00D23996" w:rsidRDefault="00F4169D" w:rsidP="00E5444B">
      <w:pPr>
        <w:rPr>
          <w:lang w:val="bg-BG"/>
        </w:rPr>
      </w:pPr>
    </w:p>
    <w:p w:rsidR="00717F2F" w:rsidRPr="00D23996" w:rsidRDefault="00FC3456" w:rsidP="00555631">
      <w:pPr>
        <w:pStyle w:val="Heading2"/>
        <w:rPr>
          <w:lang w:val="bg-BG"/>
        </w:rPr>
      </w:pPr>
      <w:r w:rsidRPr="00D23996">
        <w:rPr>
          <w:lang w:val="bg-BG"/>
        </w:rPr>
        <w:t>Приложение 2 – Обява – обществена консултация</w:t>
      </w:r>
    </w:p>
    <w:p w:rsidR="00555631" w:rsidRPr="00D23996" w:rsidRDefault="00FC3456" w:rsidP="00F55498">
      <w:pPr>
        <w:rPr>
          <w:rFonts w:ascii="Trebuchet MS" w:hAnsi="Trebuchet MS"/>
          <w:sz w:val="22"/>
          <w:szCs w:val="22"/>
          <w:u w:val="single"/>
          <w:lang w:val="bg-BG"/>
        </w:rPr>
      </w:pPr>
      <w:r w:rsidRPr="00D23996">
        <w:rPr>
          <w:rFonts w:ascii="Trebuchet MS" w:hAnsi="Trebuchet MS"/>
          <w:sz w:val="22"/>
          <w:szCs w:val="22"/>
          <w:u w:val="single"/>
          <w:lang w:val="bg-BG"/>
        </w:rPr>
        <w:t xml:space="preserve">Министерство на </w:t>
      </w:r>
      <w:r w:rsidR="005B2059">
        <w:rPr>
          <w:rFonts w:ascii="Trebuchet MS" w:hAnsi="Trebuchet MS"/>
          <w:sz w:val="22"/>
          <w:szCs w:val="22"/>
          <w:u w:val="single"/>
          <w:lang w:val="bg-BG"/>
        </w:rPr>
        <w:t>околната</w:t>
      </w:r>
      <w:r w:rsidRPr="00D23996">
        <w:rPr>
          <w:rFonts w:ascii="Trebuchet MS" w:hAnsi="Trebuchet MS"/>
          <w:sz w:val="22"/>
          <w:szCs w:val="22"/>
          <w:u w:val="single"/>
          <w:lang w:val="bg-BG"/>
        </w:rPr>
        <w:t xml:space="preserve"> среда</w:t>
      </w:r>
      <w:r w:rsidR="005B2059">
        <w:rPr>
          <w:rFonts w:ascii="Trebuchet MS" w:hAnsi="Trebuchet MS"/>
          <w:sz w:val="22"/>
          <w:szCs w:val="22"/>
          <w:u w:val="single"/>
          <w:lang w:val="bg-BG"/>
        </w:rPr>
        <w:t>, водите</w:t>
      </w:r>
      <w:r w:rsidRPr="00D23996">
        <w:rPr>
          <w:rFonts w:ascii="Trebuchet MS" w:hAnsi="Trebuchet MS"/>
          <w:sz w:val="22"/>
          <w:szCs w:val="22"/>
          <w:u w:val="single"/>
          <w:lang w:val="bg-BG"/>
        </w:rPr>
        <w:t xml:space="preserve"> и горите</w:t>
      </w:r>
    </w:p>
    <w:p w:rsidR="00ED1795" w:rsidRPr="00D23996" w:rsidRDefault="00555631" w:rsidP="006669FB">
      <w:pPr>
        <w:jc w:val="center"/>
        <w:rPr>
          <w:rFonts w:ascii="Trebuchet MS" w:hAnsi="Trebuchet MS"/>
          <w:sz w:val="22"/>
          <w:szCs w:val="22"/>
          <w:lang w:val="bg-BG"/>
        </w:rPr>
      </w:pPr>
      <w:r w:rsidRPr="00D23996">
        <w:rPr>
          <w:rFonts w:ascii="Trebuchet MS" w:hAnsi="Trebuchet MS"/>
          <w:noProof/>
          <w:sz w:val="22"/>
          <w:szCs w:val="22"/>
          <w:lang w:val="en-US" w:eastAsia="en-US"/>
        </w:rPr>
        <w:drawing>
          <wp:inline distT="0" distB="0" distL="0" distR="0" wp14:anchorId="0B15E6E6" wp14:editId="6247AD7D">
            <wp:extent cx="5486399" cy="291846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00061" cy="2925727"/>
                    </a:xfrm>
                    <a:prstGeom prst="rect">
                      <a:avLst/>
                    </a:prstGeom>
                  </pic:spPr>
                </pic:pic>
              </a:graphicData>
            </a:graphic>
          </wp:inline>
        </w:drawing>
      </w:r>
    </w:p>
    <w:p w:rsidR="00D71D85" w:rsidRPr="00D23996" w:rsidRDefault="00D71D85" w:rsidP="00F55498">
      <w:pPr>
        <w:rPr>
          <w:rFonts w:ascii="Trebuchet MS" w:hAnsi="Trebuchet MS"/>
          <w:sz w:val="22"/>
          <w:szCs w:val="22"/>
          <w:u w:val="single"/>
          <w:lang w:val="bg-BG"/>
        </w:rPr>
      </w:pPr>
      <w:r w:rsidRPr="00D23996">
        <w:rPr>
          <w:rFonts w:ascii="Trebuchet MS" w:hAnsi="Trebuchet MS"/>
          <w:sz w:val="22"/>
          <w:szCs w:val="22"/>
          <w:u w:val="single"/>
          <w:lang w:val="bg-BG"/>
        </w:rPr>
        <w:t>Министерство на развитието, благоустройството и администрацията</w:t>
      </w:r>
    </w:p>
    <w:p w:rsidR="00D71D85" w:rsidRPr="00D23996" w:rsidRDefault="00514841" w:rsidP="006669FB">
      <w:pPr>
        <w:jc w:val="center"/>
        <w:rPr>
          <w:rFonts w:ascii="Trebuchet MS" w:hAnsi="Trebuchet MS"/>
          <w:sz w:val="22"/>
          <w:szCs w:val="22"/>
          <w:u w:val="single"/>
          <w:lang w:val="bg-BG"/>
        </w:rPr>
      </w:pPr>
      <w:r w:rsidRPr="00D23996">
        <w:rPr>
          <w:rFonts w:ascii="Trebuchet MS" w:hAnsi="Trebuchet MS"/>
          <w:noProof/>
          <w:sz w:val="22"/>
          <w:szCs w:val="22"/>
          <w:u w:val="single"/>
          <w:lang w:val="en-US" w:eastAsia="en-US"/>
        </w:rPr>
        <w:drawing>
          <wp:inline distT="0" distB="0" distL="0" distR="0" wp14:anchorId="72D78D7E" wp14:editId="525C08FE">
            <wp:extent cx="5230077" cy="3319245"/>
            <wp:effectExtent l="0" t="0" r="0" b="0"/>
            <wp:docPr id="8" name="Picture 8" descr="C:\Users\BogdanTu\Desktop\MDL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gdanTu\Desktop\MDLP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1614" cy="3345606"/>
                    </a:xfrm>
                    <a:prstGeom prst="rect">
                      <a:avLst/>
                    </a:prstGeom>
                    <a:noFill/>
                    <a:ln>
                      <a:noFill/>
                    </a:ln>
                  </pic:spPr>
                </pic:pic>
              </a:graphicData>
            </a:graphic>
          </wp:inline>
        </w:drawing>
      </w:r>
    </w:p>
    <w:p w:rsidR="007378C2" w:rsidRPr="00D23996" w:rsidRDefault="007378C2" w:rsidP="00F55498">
      <w:pPr>
        <w:rPr>
          <w:rFonts w:ascii="Trebuchet MS" w:hAnsi="Trebuchet MS"/>
          <w:sz w:val="22"/>
          <w:szCs w:val="22"/>
          <w:u w:val="single"/>
          <w:lang w:val="bg-BG"/>
        </w:rPr>
      </w:pPr>
    </w:p>
    <w:p w:rsidR="007378C2" w:rsidRPr="00D23996" w:rsidRDefault="007378C2" w:rsidP="00F55498">
      <w:pPr>
        <w:rPr>
          <w:rFonts w:ascii="Trebuchet MS" w:hAnsi="Trebuchet MS"/>
          <w:sz w:val="22"/>
          <w:szCs w:val="22"/>
          <w:u w:val="single"/>
          <w:lang w:val="bg-BG"/>
        </w:rPr>
      </w:pPr>
    </w:p>
    <w:p w:rsidR="007378C2" w:rsidRPr="00D23996" w:rsidRDefault="007378C2" w:rsidP="00F55498">
      <w:pPr>
        <w:rPr>
          <w:rFonts w:ascii="Trebuchet MS" w:hAnsi="Trebuchet MS"/>
          <w:sz w:val="22"/>
          <w:szCs w:val="22"/>
          <w:u w:val="single"/>
          <w:lang w:val="bg-BG"/>
        </w:rPr>
      </w:pPr>
    </w:p>
    <w:p w:rsidR="007378C2" w:rsidRPr="00D23996" w:rsidRDefault="007378C2" w:rsidP="00F55498">
      <w:pPr>
        <w:rPr>
          <w:rFonts w:ascii="Trebuchet MS" w:hAnsi="Trebuchet MS"/>
          <w:sz w:val="22"/>
          <w:szCs w:val="22"/>
          <w:u w:val="single"/>
          <w:lang w:val="bg-BG"/>
        </w:rPr>
      </w:pPr>
    </w:p>
    <w:p w:rsidR="007378C2" w:rsidRPr="00D23996" w:rsidRDefault="007378C2" w:rsidP="00F55498">
      <w:pPr>
        <w:rPr>
          <w:rFonts w:ascii="Trebuchet MS" w:hAnsi="Trebuchet MS"/>
          <w:sz w:val="22"/>
          <w:szCs w:val="22"/>
          <w:u w:val="single"/>
          <w:lang w:val="bg-BG"/>
        </w:rPr>
      </w:pPr>
    </w:p>
    <w:p w:rsidR="00FC3456" w:rsidRPr="00D23996" w:rsidRDefault="00FC3456" w:rsidP="00F55498">
      <w:pPr>
        <w:rPr>
          <w:rFonts w:ascii="Trebuchet MS" w:hAnsi="Trebuchet MS"/>
          <w:sz w:val="22"/>
          <w:szCs w:val="22"/>
          <w:u w:val="single"/>
          <w:lang w:val="bg-BG"/>
        </w:rPr>
      </w:pPr>
      <w:r w:rsidRPr="00D23996">
        <w:rPr>
          <w:rFonts w:ascii="Trebuchet MS" w:hAnsi="Trebuchet MS"/>
          <w:sz w:val="22"/>
          <w:szCs w:val="22"/>
          <w:u w:val="single"/>
          <w:lang w:val="bg-BG"/>
        </w:rPr>
        <w:t>Уебсайт на програмата</w:t>
      </w:r>
    </w:p>
    <w:p w:rsidR="00ED1795" w:rsidRPr="00D23996" w:rsidRDefault="00555631" w:rsidP="00F55498">
      <w:pPr>
        <w:rPr>
          <w:rFonts w:ascii="Trebuchet MS" w:hAnsi="Trebuchet MS"/>
          <w:sz w:val="22"/>
          <w:szCs w:val="22"/>
          <w:lang w:val="bg-BG"/>
        </w:rPr>
      </w:pPr>
      <w:r w:rsidRPr="00D23996">
        <w:rPr>
          <w:rFonts w:ascii="Trebuchet MS" w:hAnsi="Trebuchet MS"/>
          <w:noProof/>
          <w:sz w:val="22"/>
          <w:szCs w:val="22"/>
          <w:lang w:val="en-US" w:eastAsia="en-US"/>
        </w:rPr>
        <w:drawing>
          <wp:inline distT="0" distB="0" distL="0" distR="0" wp14:anchorId="2FD1D99B" wp14:editId="2095E747">
            <wp:extent cx="5760720" cy="1844040"/>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844040"/>
                    </a:xfrm>
                    <a:prstGeom prst="rect">
                      <a:avLst/>
                    </a:prstGeom>
                  </pic:spPr>
                </pic:pic>
              </a:graphicData>
            </a:graphic>
          </wp:inline>
        </w:drawing>
      </w:r>
    </w:p>
    <w:p w:rsidR="004C1625" w:rsidRPr="00D23996" w:rsidRDefault="004C1625" w:rsidP="00F55498">
      <w:pPr>
        <w:rPr>
          <w:rFonts w:ascii="Trebuchet MS" w:hAnsi="Trebuchet MS"/>
          <w:sz w:val="22"/>
          <w:szCs w:val="22"/>
          <w:lang w:val="bg-BG"/>
        </w:rPr>
      </w:pPr>
    </w:p>
    <w:p w:rsidR="004C1625" w:rsidRPr="00D23996" w:rsidRDefault="004C1625" w:rsidP="004C1625">
      <w:pPr>
        <w:pStyle w:val="Heading2"/>
        <w:rPr>
          <w:lang w:val="bg-BG"/>
        </w:rPr>
      </w:pPr>
      <w:r w:rsidRPr="00D23996">
        <w:rPr>
          <w:lang w:val="bg-BG"/>
        </w:rPr>
        <w:t>Приложение 3 – Протоколи от заседанията на РГ</w:t>
      </w:r>
    </w:p>
    <w:p w:rsidR="00F96B13" w:rsidRPr="00D23996" w:rsidRDefault="00F96B13" w:rsidP="00F96B13">
      <w:pPr>
        <w:spacing w:line="276" w:lineRule="auto"/>
        <w:jc w:val="right"/>
        <w:rPr>
          <w:rFonts w:eastAsia="Calibri"/>
          <w:b/>
          <w:sz w:val="22"/>
          <w:szCs w:val="22"/>
          <w:lang w:val="bg-BG" w:eastAsia="en-US"/>
        </w:rPr>
      </w:pPr>
      <w:r w:rsidRPr="00D23996">
        <w:rPr>
          <w:rFonts w:eastAsia="Calibri"/>
          <w:b/>
          <w:sz w:val="22"/>
          <w:szCs w:val="22"/>
          <w:lang w:val="bg-BG" w:eastAsia="en-US"/>
        </w:rPr>
        <w:t>144954/08.11.2021г</w:t>
      </w:r>
    </w:p>
    <w:p w:rsidR="00F96B13" w:rsidRPr="00D23996" w:rsidRDefault="00F96B13" w:rsidP="00F96B13">
      <w:pPr>
        <w:spacing w:line="276" w:lineRule="auto"/>
        <w:jc w:val="center"/>
        <w:rPr>
          <w:rFonts w:eastAsia="Calibri"/>
          <w:b/>
          <w:sz w:val="22"/>
          <w:szCs w:val="22"/>
          <w:lang w:val="bg-BG" w:eastAsia="en-US"/>
        </w:rPr>
      </w:pPr>
    </w:p>
    <w:p w:rsidR="00F96B13" w:rsidRPr="00D23996" w:rsidRDefault="00F96B13" w:rsidP="00F96B13">
      <w:pPr>
        <w:spacing w:line="276" w:lineRule="auto"/>
        <w:jc w:val="center"/>
        <w:rPr>
          <w:rFonts w:eastAsia="Calibri"/>
          <w:b/>
          <w:sz w:val="22"/>
          <w:szCs w:val="22"/>
          <w:lang w:val="bg-BG" w:eastAsia="en-US"/>
        </w:rPr>
      </w:pPr>
      <w:r w:rsidRPr="00D23996">
        <w:rPr>
          <w:rFonts w:eastAsia="Calibri"/>
          <w:b/>
          <w:sz w:val="22"/>
          <w:szCs w:val="22"/>
          <w:lang w:val="bg-BG" w:eastAsia="en-US"/>
        </w:rPr>
        <w:t>Minuta primei întâlniri a Grupului de lucru pentru Evaluarea Strategică de mediu (SEA)</w:t>
      </w:r>
    </w:p>
    <w:p w:rsidR="00F96B13" w:rsidRPr="00D23996" w:rsidRDefault="00F96B13" w:rsidP="00F96B13">
      <w:pPr>
        <w:spacing w:line="276" w:lineRule="auto"/>
        <w:jc w:val="center"/>
        <w:rPr>
          <w:rFonts w:eastAsia="Calibri"/>
          <w:b/>
          <w:sz w:val="22"/>
          <w:szCs w:val="22"/>
          <w:lang w:val="bg-BG" w:eastAsia="en-US"/>
        </w:rPr>
      </w:pPr>
      <w:r w:rsidRPr="00D23996">
        <w:rPr>
          <w:rFonts w:eastAsia="Calibri"/>
          <w:b/>
          <w:sz w:val="22"/>
          <w:szCs w:val="22"/>
          <w:lang w:val="bg-BG" w:eastAsia="en-US"/>
        </w:rPr>
        <w:t>a Programului INTERREG VI-A Румъния-България 2021-2027</w:t>
      </w:r>
    </w:p>
    <w:p w:rsidR="00F96B13" w:rsidRPr="00D23996" w:rsidRDefault="00F96B13" w:rsidP="00F96B13">
      <w:pPr>
        <w:spacing w:line="276" w:lineRule="auto"/>
        <w:jc w:val="center"/>
        <w:rPr>
          <w:rFonts w:eastAsia="Calibri"/>
          <w:b/>
          <w:sz w:val="22"/>
          <w:szCs w:val="22"/>
          <w:lang w:val="bg-BG" w:eastAsia="en-US"/>
        </w:rPr>
      </w:pPr>
    </w:p>
    <w:p w:rsidR="00F96B13" w:rsidRPr="00D23996" w:rsidRDefault="005B2059" w:rsidP="00F96B13">
      <w:pPr>
        <w:spacing w:line="276" w:lineRule="auto"/>
        <w:rPr>
          <w:rFonts w:eastAsia="Calibri"/>
          <w:sz w:val="22"/>
          <w:szCs w:val="22"/>
          <w:lang w:val="bg-BG" w:eastAsia="en-US"/>
        </w:rPr>
      </w:pPr>
      <w:r>
        <w:rPr>
          <w:rFonts w:eastAsia="Calibri"/>
          <w:b/>
          <w:sz w:val="22"/>
          <w:szCs w:val="22"/>
          <w:lang w:val="bg-BG" w:eastAsia="en-US"/>
        </w:rPr>
        <w:t>Дата</w:t>
      </w:r>
      <w:r w:rsidR="00F96B13" w:rsidRPr="00D23996">
        <w:rPr>
          <w:rFonts w:eastAsia="Calibri"/>
          <w:b/>
          <w:sz w:val="22"/>
          <w:szCs w:val="22"/>
          <w:lang w:val="bg-BG" w:eastAsia="en-US"/>
        </w:rPr>
        <w:t>:</w:t>
      </w:r>
      <w:r>
        <w:rPr>
          <w:rFonts w:eastAsia="Calibri"/>
          <w:b/>
          <w:sz w:val="22"/>
          <w:szCs w:val="22"/>
          <w:lang w:val="bg-BG" w:eastAsia="en-US"/>
        </w:rPr>
        <w:t xml:space="preserve"> </w:t>
      </w:r>
      <w:r w:rsidR="00F96B13" w:rsidRPr="00D23996">
        <w:rPr>
          <w:rFonts w:eastAsia="Calibri"/>
          <w:sz w:val="22"/>
          <w:szCs w:val="22"/>
          <w:lang w:val="bg-BG" w:eastAsia="en-US"/>
        </w:rPr>
        <w:t>08.11.2021 г</w:t>
      </w:r>
    </w:p>
    <w:p w:rsidR="00F96B13" w:rsidRPr="00D23996" w:rsidRDefault="00F96B13" w:rsidP="00F96B13">
      <w:pPr>
        <w:spacing w:line="276" w:lineRule="auto"/>
        <w:rPr>
          <w:rFonts w:eastAsia="Calibri"/>
          <w:sz w:val="22"/>
          <w:szCs w:val="22"/>
          <w:lang w:val="bg-BG" w:eastAsia="en-US"/>
        </w:rPr>
      </w:pPr>
      <w:r w:rsidRPr="00D23996">
        <w:rPr>
          <w:rFonts w:eastAsia="Calibri"/>
          <w:b/>
          <w:sz w:val="22"/>
          <w:szCs w:val="22"/>
          <w:lang w:val="bg-BG" w:eastAsia="en-US"/>
        </w:rPr>
        <w:t>Местоположение</w:t>
      </w:r>
      <w:r w:rsidRPr="00D23996">
        <w:rPr>
          <w:rFonts w:eastAsia="Calibri"/>
          <w:sz w:val="22"/>
          <w:szCs w:val="22"/>
          <w:lang w:val="bg-BG" w:eastAsia="en-US"/>
        </w:rPr>
        <w:t>: Онлайн</w:t>
      </w:r>
    </w:p>
    <w:p w:rsidR="005B2059" w:rsidRPr="00F96B13" w:rsidRDefault="00F96B13" w:rsidP="005B2059">
      <w:pPr>
        <w:spacing w:line="276" w:lineRule="auto"/>
        <w:rPr>
          <w:rFonts w:eastAsia="Calibri"/>
          <w:sz w:val="22"/>
          <w:szCs w:val="22"/>
          <w:lang w:eastAsia="en-US"/>
        </w:rPr>
      </w:pPr>
      <w:r w:rsidRPr="00D23996">
        <w:rPr>
          <w:rFonts w:eastAsia="Calibri"/>
          <w:b/>
          <w:sz w:val="22"/>
          <w:szCs w:val="22"/>
          <w:lang w:val="bg-BG" w:eastAsia="en-US"/>
        </w:rPr>
        <w:t>Участници</w:t>
      </w:r>
      <w:r w:rsidRPr="00D23996">
        <w:rPr>
          <w:rFonts w:eastAsia="Calibri"/>
          <w:sz w:val="22"/>
          <w:szCs w:val="22"/>
          <w:lang w:val="bg-BG" w:eastAsia="en-US"/>
        </w:rPr>
        <w:t>:</w:t>
      </w:r>
      <w:r w:rsidR="005B2059" w:rsidRPr="00F96B13">
        <w:rPr>
          <w:rFonts w:eastAsia="Calibri"/>
          <w:sz w:val="22"/>
          <w:szCs w:val="22"/>
          <w:lang w:eastAsia="en-US"/>
        </w:rPr>
        <w:t xml:space="preserve"> Mihaela MĂCELARU – Ministerul Mediului, Apelor şi Pădurilor (Direcția Evaluare Impact și Controlul Poluării),  Ana-Maria NISTORESCU - Ministerul Mediului, Apelor şi Pădurilor (Direcţia Gestionarea Deşeurilor),  Andreea SAVU –Ministerul Mediului, Apelor şi Pădurilor (Direcţia Biodiversitate), Andreea HARCEAG – Ministerul Mediului, Apelor şi Pădurilor (Directia Managementul Resurselor de Apa), Elena FILIP, Victor HORUMBĂ şi Diana ZIDARU  – Ministerul Agriculturii şi Dezvoltării Rurale, Mihaela FULGA – Ministerul Sănătății, Ana PETRUŢA – Ministerul Transporturilor şi Infrastructurii, Dragos NEAMTU – Ministerul Economiei, Iulia GUGIU - Ministerul Investitiilor si Proiectelor Europene, Răsvan ZAMFIR – Secretariat Comun (SC)/BRCT Călăraşi, Nicolae VOINEAG – Ministerul Energiei, Marius NISTORESCU, Alexandra DOBA, Valentina COMAN – EPC Consultanță de mediu</w:t>
      </w:r>
      <w:r w:rsidR="005B2059" w:rsidRPr="00F96B13">
        <w:rPr>
          <w:rFonts w:eastAsia="Calibri"/>
          <w:sz w:val="22"/>
          <w:szCs w:val="22"/>
          <w:lang w:val="en-GB" w:eastAsia="en-US"/>
        </w:rPr>
        <w:t xml:space="preserve">, Marcela GLODEANU, Simona VĂTAFU, Bogdan TUDORICĂ şi Alexandra GOGANCEA - VĂTĂŞOIU – Autoritatea de Management, Vlad IRIMIE – CIVITTA. </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Principalele subiecte abordate în cadrul ședinței grupului de lucru au vizat</w:t>
      </w:r>
      <w:r w:rsidRPr="00F96B13">
        <w:rPr>
          <w:rFonts w:eastAsia="Calibri"/>
          <w:sz w:val="22"/>
          <w:szCs w:val="22"/>
          <w:lang w:eastAsia="en-US"/>
        </w:rPr>
        <w:t xml:space="preserve">: </w:t>
      </w:r>
    </w:p>
    <w:p w:rsidR="005B2059" w:rsidRPr="00F96B13" w:rsidRDefault="005B2059" w:rsidP="005B2059">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Prezentarea Programului Interreg VI-A România Bulgaria 2021-2027</w:t>
      </w:r>
    </w:p>
    <w:p w:rsidR="005B2059" w:rsidRPr="00F96B13" w:rsidRDefault="005B2059" w:rsidP="005B2059">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metodologiei de elaborare a Raportului de Mediu precum şi principalele rezultate obținute până în prezent. </w:t>
      </w:r>
    </w:p>
    <w:p w:rsidR="005B2059" w:rsidRPr="00F96B13" w:rsidRDefault="005B2059" w:rsidP="005B2059">
      <w:pPr>
        <w:spacing w:line="276" w:lineRule="auto"/>
        <w:ind w:left="770"/>
        <w:contextualSpacing/>
        <w:rPr>
          <w:rFonts w:eastAsia="Calibri"/>
          <w:sz w:val="22"/>
          <w:szCs w:val="22"/>
          <w:lang w:eastAsia="en-US"/>
        </w:rPr>
      </w:pPr>
    </w:p>
    <w:p w:rsidR="005B2059" w:rsidRPr="00F96B13" w:rsidRDefault="005B2059" w:rsidP="005B2059">
      <w:pPr>
        <w:spacing w:line="276" w:lineRule="auto"/>
        <w:contextualSpacing/>
        <w:rPr>
          <w:rFonts w:eastAsia="Calibri"/>
          <w:sz w:val="22"/>
          <w:szCs w:val="22"/>
          <w:lang w:eastAsia="en-US"/>
        </w:rPr>
      </w:pPr>
      <w:r w:rsidRPr="00F96B13">
        <w:rPr>
          <w:rFonts w:eastAsia="Calibri"/>
          <w:sz w:val="22"/>
          <w:szCs w:val="22"/>
          <w:lang w:eastAsia="en-US"/>
        </w:rPr>
        <w:lastRenderedPageBreak/>
        <w:t xml:space="preserve">Principalele aspecte cheie enunțate în cadrul întâlnirii Grupului de lucru de către participanți sunt prezentate tabelar în continuare: </w:t>
      </w:r>
    </w:p>
    <w:p w:rsidR="00F96B13" w:rsidRPr="00D23996" w:rsidRDefault="00F96B13" w:rsidP="00F96B13">
      <w:pPr>
        <w:spacing w:line="276" w:lineRule="auto"/>
        <w:contextualSpacing/>
        <w:rPr>
          <w:rFonts w:eastAsia="Calibri"/>
          <w:sz w:val="22"/>
          <w:szCs w:val="22"/>
          <w:lang w:val="bg-BG" w:eastAsia="en-US"/>
        </w:rPr>
      </w:pPr>
    </w:p>
    <w:tbl>
      <w:tblPr>
        <w:tblStyle w:val="TableGrid1"/>
        <w:tblW w:w="9540" w:type="dxa"/>
        <w:tblInd w:w="85" w:type="dxa"/>
        <w:tblLook w:val="04A0" w:firstRow="1" w:lastRow="0" w:firstColumn="1" w:lastColumn="0" w:noHBand="0" w:noVBand="1"/>
      </w:tblPr>
      <w:tblGrid>
        <w:gridCol w:w="1458"/>
        <w:gridCol w:w="8082"/>
      </w:tblGrid>
      <w:tr w:rsidR="005B2059" w:rsidRPr="00D23996" w:rsidTr="005B2059">
        <w:trPr>
          <w:trHeight w:val="513"/>
          <w:tblHeader/>
        </w:trPr>
        <w:tc>
          <w:tcPr>
            <w:tcW w:w="1439"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Participant</w:t>
            </w:r>
          </w:p>
        </w:tc>
        <w:tc>
          <w:tcPr>
            <w:tcW w:w="8101"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Aspecte cheie</w:t>
            </w:r>
          </w:p>
        </w:tc>
      </w:tr>
      <w:tr w:rsidR="005B2059" w:rsidRPr="00D23996" w:rsidTr="005B2059">
        <w:trPr>
          <w:trHeight w:val="746"/>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deschide ședința şi prezintă programul agendei al întâlnirii, ulterior îi dă cuvântul Dnei. Mihaela Măcelaru. </w:t>
            </w:r>
          </w:p>
        </w:tc>
      </w:tr>
      <w:tr w:rsidR="005B2059" w:rsidRPr="00D23996" w:rsidTr="005B2059">
        <w:trPr>
          <w:trHeight w:val="513"/>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8101" w:type="dxa"/>
            <w:vAlign w:val="center"/>
          </w:tcPr>
          <w:p w:rsidR="005B2059" w:rsidRPr="00F96B13" w:rsidRDefault="005B2059" w:rsidP="00F525A7">
            <w:pPr>
              <w:spacing w:before="0" w:after="0" w:line="240" w:lineRule="auto"/>
              <w:contextualSpacing/>
              <w:rPr>
                <w:rFonts w:eastAsia="Calibri"/>
                <w:lang w:eastAsia="en-US"/>
              </w:rPr>
            </w:pPr>
            <w:proofErr w:type="gramStart"/>
            <w:r w:rsidRPr="00F96B13">
              <w:rPr>
                <w:rFonts w:eastAsia="Calibri"/>
                <w:lang w:eastAsia="en-US"/>
              </w:rPr>
              <w:t>Prezintă  stadiul</w:t>
            </w:r>
            <w:proofErr w:type="gramEnd"/>
            <w:r w:rsidRPr="00F96B13">
              <w:rPr>
                <w:rFonts w:eastAsia="Calibri"/>
                <w:lang w:eastAsia="en-US"/>
              </w:rPr>
              <w:t xml:space="preserve"> procedurii evaluării de mediu,  derulate până în prezent,  și anume: transmiterea notificării de către titularul programului privind elaborarea primei versiuni a programului şi solicitarea demarării procedurii SEA, publicarea celor două anunţuri privind disponibilitatea primei variante de program (primul anunț a fost publicat în cotidianul România Libera în data de 10 august 2021, iar cel de al doilea anunț în data de 13 august 2021).</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S-a specificat că documentul a fost afișat spre consultare publică pe pagina de internet a MDLPA si MMAP (în data de 27 august 2021), în vederea primirii de observații si comentarii. Nu au fost primite comentarii sau observaţii, în termenele legale prevăzute (până cel târziu la data de 30 septembrie 2021) din partea publicului, referitor la prima versiune a programului.</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Ca urmare a notificării și pe baza informațiilor furnizate în prima versiune a Programului, în data de 30 august 2021, MMAP a decis ca acest program se încadrează la art.5 alin 2 lit a) a HG nr. 1076/2004 și prin urmare se supune obligatoriu evaluării de mediu, fără a fi necesară parcurgerea etapei de încadrare, datorită faptului că acest program cuprinde tipuri de acțiuni ce stabilesc cadrul pentru emiterea viitoarelor acorduri de proiecte. S-a solicitat constituirea Grupului de Lucru.</w:t>
            </w:r>
          </w:p>
          <w:p w:rsidR="005B2059" w:rsidRPr="00F96B13" w:rsidRDefault="005B2059" w:rsidP="00F525A7">
            <w:pPr>
              <w:spacing w:before="0" w:after="0" w:line="240" w:lineRule="auto"/>
              <w:contextualSpacing/>
              <w:rPr>
                <w:rFonts w:eastAsia="Calibri"/>
                <w:lang w:eastAsia="en-US"/>
              </w:rPr>
            </w:pPr>
          </w:p>
          <w:p w:rsidR="005B2059" w:rsidRPr="00F96B13" w:rsidRDefault="005B2059" w:rsidP="00F525A7">
            <w:pPr>
              <w:spacing w:before="0" w:after="0" w:line="240" w:lineRule="auto"/>
              <w:rPr>
                <w:rFonts w:eastAsia="Calibri"/>
                <w:lang w:eastAsia="en-US"/>
              </w:rPr>
            </w:pPr>
            <w:r w:rsidRPr="00F96B13">
              <w:rPr>
                <w:rFonts w:eastAsia="Calibri"/>
                <w:lang w:eastAsia="en-US"/>
              </w:rPr>
              <w:t xml:space="preserve">Dna. Mihaela Măcelaru afirmă că se va realiza un singur raport de mediu comun pentru ambele state implicate în program, raport ce va fi supus unor consultări separate în fiecare ţară.  </w:t>
            </w:r>
          </w:p>
          <w:p w:rsidR="005B2059" w:rsidRPr="00F96B13" w:rsidRDefault="005B2059" w:rsidP="00F525A7">
            <w:pPr>
              <w:spacing w:before="0" w:after="0" w:line="240" w:lineRule="auto"/>
              <w:rPr>
                <w:rFonts w:eastAsia="Calibri"/>
                <w:lang w:eastAsia="en-US"/>
              </w:rPr>
            </w:pPr>
            <w:r w:rsidRPr="00F96B13">
              <w:rPr>
                <w:rFonts w:eastAsia="Calibri"/>
                <w:lang w:eastAsia="en-US"/>
              </w:rPr>
              <w:t>Astfel, autorităţile de mediu din ambele state trebuie să îşi exprime în scris punctul de vedere privind consultările transfrontaliere, conform articolelor 22(2) şi 34 din HG 1076/2004. Deoarece în ambele state vor avea loc consultări publice pentru raportul de mediu comun şi program, prin urmare aceste consultări transfrontaliere nu sunt necesare.</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În relația cu alte planuri şi programe se va ține cont de Programul Operațional Dezvoltare Durabilă 2021-2027 și Programul Operațional Infrastructură Mare 2021-2027.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S-a menționat că acest program este solicitat de către Uniunea Europeană iar toate Programele finanţate de către UE se supun prevederilor Directivei referitoare la evaluarea strategică de mediu. Acest program este finanţat prin Fondul European de Dezvoltare Regională, şi astfel necesită realizarea unei evaluari strategice de mediu.</w:t>
            </w:r>
          </w:p>
        </w:tc>
      </w:tr>
      <w:tr w:rsidR="005B2059" w:rsidRPr="00D23996" w:rsidTr="005B2059">
        <w:trPr>
          <w:trHeight w:val="3518"/>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Dna. Marcela GLODEANU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Prezintă participanții primei întâlniri a Grupului de Lucru.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face o prezentare a Programului Interreg VI-A România-Bulgaria 2021-2027 şi menționează că a fost efectuată anterior o analiză teritorială în care concluziile au fost elocvente şi necesarul de investiții este unul mare.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Sunt prezentate cele 4 obiective de politică (Obiectivul de Politică 2 - </w:t>
            </w:r>
            <w:r w:rsidRPr="00F96B13">
              <w:rPr>
                <w:rFonts w:eastAsia="Calibri"/>
                <w:lang w:eastAsia="en-US"/>
              </w:rPr>
              <w:br/>
              <w:t>O Europă mai verde, Obiectivul de Politică 3</w:t>
            </w:r>
            <w:r w:rsidRPr="00F96B13">
              <w:rPr>
                <w:rFonts w:eastAsia="Calibri"/>
                <w:lang w:eastAsia="en-US"/>
              </w:rPr>
              <w:br/>
              <w:t xml:space="preserve">- O Europă mai conectată, Obiectivul de Politică 4 </w:t>
            </w:r>
            <w:r w:rsidRPr="00F96B13">
              <w:rPr>
                <w:rFonts w:eastAsia="Calibri"/>
                <w:lang w:eastAsia="en-US"/>
              </w:rPr>
              <w:br/>
              <w:t>- O Europă mai socială și mai incluzivă şi Obiectivul de Politică 5</w:t>
            </w:r>
            <w:r w:rsidRPr="00F96B13">
              <w:rPr>
                <w:rFonts w:eastAsia="Calibri"/>
                <w:lang w:eastAsia="en-US"/>
              </w:rPr>
              <w:br/>
              <w:t>- O Europă mai aproape de cetățeni) cu cele 5 obiective specifice selectate spre finanțare</w:t>
            </w:r>
            <w:proofErr w:type="gramStart"/>
            <w:r w:rsidRPr="00F96B13">
              <w:rPr>
                <w:rFonts w:eastAsia="Calibri"/>
                <w:lang w:eastAsia="en-US"/>
              </w:rPr>
              <w:t>,  precum</w:t>
            </w:r>
            <w:proofErr w:type="gramEnd"/>
            <w:r w:rsidRPr="00F96B13">
              <w:rPr>
                <w:rFonts w:eastAsia="Calibri"/>
                <w:lang w:eastAsia="en-US"/>
              </w:rPr>
              <w:t xml:space="preserve"> şi  tipurile de indicative de acțiuni aferente acestora. De asemenea sunt menționați </w:t>
            </w:r>
            <w:proofErr w:type="gramStart"/>
            <w:r w:rsidRPr="00F96B13">
              <w:rPr>
                <w:rFonts w:eastAsia="Calibri"/>
                <w:lang w:eastAsia="en-US"/>
              </w:rPr>
              <w:t>indicatorii  stabili</w:t>
            </w:r>
            <w:proofErr w:type="gramEnd"/>
            <w:r w:rsidRPr="00F96B13">
              <w:rPr>
                <w:rFonts w:eastAsia="Calibri"/>
                <w:lang w:eastAsia="en-US"/>
              </w:rPr>
              <w:t xml:space="preserve">ți pentru fiecare obiectiv specific în parte ce vor fi îndepliniți prin implementarea programului, şi bugetul acestuia.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 Dna. Marcela Glodeanu finalizează prezentarea, solicită adresarea întrebărilor (dacă sunt) şi îi dă cuvântul Dlui. Marius Nistorescu pentru a prezenta metodologia elaborării Raportului de Mediu. </w:t>
            </w:r>
          </w:p>
        </w:tc>
      </w:tr>
      <w:tr w:rsidR="005B2059" w:rsidRPr="00D23996" w:rsidTr="005B2059">
        <w:trPr>
          <w:trHeight w:val="77"/>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 prezintă partenerii - CIVITTA ce se ocupă cu elaborarea Programului şi menționează că aceștia nu sunt implicați în elaborarea Raportului de Mediu precum şi faptul că nici EPC nu este implicat în elaborarea Programului, evitând-se astfel orice potențial conflict de interese.</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 prezintă modul de elaborare al Raportului de Mediu, prin punctarea următoarelor aspecte:</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Având în vedere că este prima întâlnire a grupului de lucru se vor prezenta aspectele metodologice pentru elaborarea Raportului de Mediu;</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Etapele realizării Raportului de mediu  cu mențiunea că există o legătură între fiecare capitol;</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Nivelul maxim de detaliu al evaluării este reprezentat de tipurile de acțiuni vizate;</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Lipsa caracteristicilor spațiale reprezintă un impediment în realizarea evaluării strategice de mediu, însă acolo unde vor fi disponibile acestea se vor analiza;</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Aspectele de mediu ce vor fi analizate în cadrul Raportului de Mediu;</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Obiectivele relevante de mediu pentru fiecare aspect de mediu, care au fost propuse luând în considerare obiectivele dezvoltării durabile stabilite la nivel național. Acestea se vor folosi pentru analiza compatibilității cu obiectivele specifice ale programului precum şi analiza impactului tipurilor de acțiuni asupra acestora;</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Metodologia pentru elaborarea „Alternativei 0” şi prezentarea unor exemple pentru aspectele de mediu biodiversitate, apă şi aer cu mențiunea că pentru stabilirea tendinței vor fi utilizate resurse la nivel European sau se va stabili în funcție de evoluția aspectelor de mediu din ultimii ani;</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lastRenderedPageBreak/>
              <w:t xml:space="preserve">Categoriile de planuri şi programe pentru care se </w:t>
            </w:r>
            <w:proofErr w:type="gramStart"/>
            <w:r w:rsidRPr="00F96B13">
              <w:rPr>
                <w:rFonts w:eastAsia="Calibri"/>
                <w:lang w:eastAsia="en-US"/>
              </w:rPr>
              <w:t>va</w:t>
            </w:r>
            <w:proofErr w:type="gramEnd"/>
            <w:r w:rsidRPr="00F96B13">
              <w:rPr>
                <w:rFonts w:eastAsia="Calibri"/>
                <w:lang w:eastAsia="en-US"/>
              </w:rPr>
              <w:t xml:space="preserve"> analiza relația cu Programul România-Bulgaria 2021-2027. </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Metodologia de evaluare a efectelor semnificative ale implementării programului şi faptul că se va utiliza o abordare precaută;</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Abordarea prin care membrii grupului de lucru vor avea acces la stadiul actual al Raportului de Mediu, prin intermediul Google Drive.</w:t>
            </w:r>
          </w:p>
        </w:tc>
      </w:tr>
      <w:tr w:rsidR="005B2059" w:rsidRPr="00D23996" w:rsidTr="005B2059">
        <w:trPr>
          <w:trHeight w:val="480"/>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 xml:space="preserve">Dna. Marcela GLODEANU </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Menționează că prezentarea privind metodologia elaborării Raportului de Mediu a fost suficient de explicită. </w:t>
            </w:r>
          </w:p>
        </w:tc>
      </w:tr>
      <w:tr w:rsidR="005B2059" w:rsidRPr="00D23996" w:rsidTr="005B2059">
        <w:trPr>
          <w:trHeight w:val="1430"/>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Susține că este de acord cu abordarea propusă privind implicarea membrilor grupului de lucru prin postarea documentelor pe aplicația Google Drive, însă solicită ca acestea (inclusiv minutele) să fie transmise și pe email.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solicită opinia Dnei. Andreea Savu cu privire la </w:t>
            </w:r>
            <w:proofErr w:type="gramStart"/>
            <w:r w:rsidRPr="00F96B13">
              <w:rPr>
                <w:rFonts w:eastAsia="Calibri"/>
                <w:lang w:eastAsia="en-US"/>
              </w:rPr>
              <w:t>necesitatea  parcurgerii</w:t>
            </w:r>
            <w:proofErr w:type="gramEnd"/>
            <w:r w:rsidRPr="00F96B13">
              <w:rPr>
                <w:rFonts w:eastAsia="Calibri"/>
                <w:lang w:eastAsia="en-US"/>
              </w:rPr>
              <w:t xml:space="preserve"> procedurii de evaluare adecvată. </w:t>
            </w:r>
          </w:p>
        </w:tc>
      </w:tr>
      <w:tr w:rsidR="005B2059" w:rsidRPr="00D23996" w:rsidTr="005B2059">
        <w:trPr>
          <w:trHeight w:val="480"/>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Andreea SAVU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Andreea Savu afirmă faptul că în urma analizei programului, va transmite un răspuns cu privire la acest aspect. </w:t>
            </w:r>
          </w:p>
        </w:tc>
      </w:tr>
      <w:tr w:rsidR="005B2059" w:rsidRPr="00D23996" w:rsidTr="005B2059">
        <w:trPr>
          <w:trHeight w:val="480"/>
        </w:trPr>
        <w:tc>
          <w:tcPr>
            <w:tcW w:w="1439"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w:t>
            </w:r>
          </w:p>
        </w:tc>
        <w:tc>
          <w:tcPr>
            <w:tcW w:w="8101"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Solicită ca cele două prezentări de astăzi să fie transmise participanților pe email şi să fie stabilită a doua întâlnire a grupului de lucru.</w:t>
            </w:r>
          </w:p>
        </w:tc>
      </w:tr>
    </w:tbl>
    <w:p w:rsidR="00F96B13" w:rsidRPr="00D23996" w:rsidRDefault="00F96B13" w:rsidP="00F96B13">
      <w:pPr>
        <w:spacing w:line="276" w:lineRule="auto"/>
        <w:rPr>
          <w:rFonts w:eastAsia="Calibri"/>
          <w:sz w:val="22"/>
          <w:szCs w:val="22"/>
          <w:lang w:val="bg-BG" w:eastAsia="en-US"/>
        </w:rPr>
      </w:pPr>
    </w:p>
    <w:p w:rsidR="00F96B13" w:rsidRPr="00D23996" w:rsidRDefault="00F96B13" w:rsidP="00F96B13">
      <w:pPr>
        <w:spacing w:line="276" w:lineRule="auto"/>
        <w:rPr>
          <w:rFonts w:eastAsia="Calibri"/>
          <w:sz w:val="22"/>
          <w:szCs w:val="22"/>
          <w:lang w:val="bg-BG" w:eastAsia="en-US"/>
        </w:rPr>
      </w:pPr>
      <w:r w:rsidRPr="00D23996">
        <w:rPr>
          <w:rFonts w:eastAsia="Calibri"/>
          <w:noProof/>
          <w:sz w:val="22"/>
          <w:szCs w:val="22"/>
          <w:lang w:val="en-US" w:eastAsia="en-US"/>
        </w:rPr>
        <w:lastRenderedPageBreak/>
        <w:drawing>
          <wp:inline distT="0" distB="0" distL="0" distR="0" wp14:anchorId="31D64BB6" wp14:editId="05235272">
            <wp:extent cx="5943600" cy="4457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F96B13" w:rsidRPr="00D23996" w:rsidRDefault="00F96B13" w:rsidP="00F96B13">
      <w:pPr>
        <w:spacing w:line="276" w:lineRule="auto"/>
        <w:rPr>
          <w:rFonts w:eastAsia="Calibri"/>
          <w:sz w:val="22"/>
          <w:szCs w:val="22"/>
          <w:lang w:val="bg-BG" w:eastAsia="en-US"/>
        </w:rPr>
      </w:pPr>
    </w:p>
    <w:p w:rsidR="00F96B13" w:rsidRPr="00D23996" w:rsidRDefault="00F96B13" w:rsidP="00F96B13">
      <w:pPr>
        <w:spacing w:line="276" w:lineRule="auto"/>
        <w:rPr>
          <w:rFonts w:eastAsia="Calibri"/>
          <w:sz w:val="22"/>
          <w:szCs w:val="22"/>
          <w:lang w:val="bg-BG" w:eastAsia="en-US"/>
        </w:rPr>
      </w:pPr>
    </w:p>
    <w:p w:rsidR="00F96B13" w:rsidRPr="00D23996" w:rsidRDefault="00F96B13" w:rsidP="00F96B13">
      <w:pPr>
        <w:spacing w:line="276" w:lineRule="auto"/>
        <w:jc w:val="center"/>
        <w:rPr>
          <w:rFonts w:eastAsia="Calibri"/>
          <w:sz w:val="22"/>
          <w:szCs w:val="22"/>
          <w:lang w:val="bg-BG" w:eastAsia="en-US"/>
        </w:rPr>
      </w:pPr>
      <w:r w:rsidRPr="00D23996">
        <w:rPr>
          <w:rFonts w:eastAsia="Calibri"/>
          <w:noProof/>
          <w:sz w:val="22"/>
          <w:szCs w:val="22"/>
          <w:lang w:val="en-US" w:eastAsia="en-US"/>
        </w:rPr>
        <w:drawing>
          <wp:inline distT="0" distB="0" distL="0" distR="0" wp14:anchorId="371EA446" wp14:editId="2D90E87F">
            <wp:extent cx="5943600" cy="32670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54874042_392138995939235_3759290658612653355_n.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267075"/>
                    </a:xfrm>
                    <a:prstGeom prst="rect">
                      <a:avLst/>
                    </a:prstGeom>
                  </pic:spPr>
                </pic:pic>
              </a:graphicData>
            </a:graphic>
          </wp:inline>
        </w:drawing>
      </w:r>
    </w:p>
    <w:p w:rsidR="00F96B13" w:rsidRPr="00D23996" w:rsidRDefault="00F96B13" w:rsidP="00F96B13">
      <w:pPr>
        <w:tabs>
          <w:tab w:val="left" w:pos="2400"/>
        </w:tabs>
        <w:spacing w:line="276" w:lineRule="auto"/>
        <w:rPr>
          <w:rFonts w:eastAsia="Calibri"/>
          <w:sz w:val="22"/>
          <w:szCs w:val="22"/>
          <w:lang w:val="bg-BG" w:eastAsia="en-US"/>
        </w:rPr>
      </w:pPr>
      <w:r w:rsidRPr="00D23996">
        <w:rPr>
          <w:rFonts w:eastAsia="Calibri"/>
          <w:sz w:val="22"/>
          <w:szCs w:val="22"/>
          <w:lang w:val="bg-BG" w:eastAsia="en-US"/>
        </w:rPr>
        <w:lastRenderedPageBreak/>
        <w:tab/>
      </w:r>
      <w:r w:rsidRPr="00D23996">
        <w:rPr>
          <w:rFonts w:eastAsia="Calibri"/>
          <w:noProof/>
          <w:sz w:val="22"/>
          <w:szCs w:val="22"/>
          <w:lang w:val="en-US" w:eastAsia="en-US"/>
        </w:rPr>
        <w:drawing>
          <wp:inline distT="0" distB="0" distL="0" distR="0" wp14:anchorId="2B342C86" wp14:editId="0B9CE919">
            <wp:extent cx="5943600" cy="4457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53959380_368449041687483_7799203043789430401_n.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4C1625" w:rsidRPr="00D23996" w:rsidRDefault="004C1625"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5B2059" w:rsidRPr="00F96B13" w:rsidRDefault="005B2059" w:rsidP="005B2059">
      <w:pPr>
        <w:spacing w:line="276" w:lineRule="auto"/>
        <w:jc w:val="right"/>
        <w:rPr>
          <w:rFonts w:eastAsia="Calibri"/>
          <w:b/>
          <w:sz w:val="22"/>
          <w:szCs w:val="22"/>
          <w:lang w:eastAsia="en-US"/>
        </w:rPr>
      </w:pPr>
      <w:r w:rsidRPr="00F96B13">
        <w:rPr>
          <w:rFonts w:eastAsia="Calibri"/>
          <w:b/>
          <w:sz w:val="22"/>
          <w:szCs w:val="22"/>
          <w:lang w:eastAsia="en-US"/>
        </w:rPr>
        <w:t>11998/27.01.2022</w:t>
      </w:r>
    </w:p>
    <w:p w:rsidR="005B2059" w:rsidRPr="00F96B13" w:rsidRDefault="005B2059" w:rsidP="005B2059">
      <w:pPr>
        <w:spacing w:line="276" w:lineRule="auto"/>
        <w:jc w:val="center"/>
        <w:rPr>
          <w:rFonts w:eastAsia="Calibri"/>
          <w:b/>
          <w:sz w:val="22"/>
          <w:szCs w:val="22"/>
          <w:lang w:eastAsia="en-US"/>
        </w:rPr>
      </w:pPr>
    </w:p>
    <w:p w:rsidR="005B2059" w:rsidRPr="00F96B13" w:rsidRDefault="005B2059" w:rsidP="005B2059">
      <w:pPr>
        <w:spacing w:line="276" w:lineRule="auto"/>
        <w:jc w:val="center"/>
        <w:rPr>
          <w:rFonts w:eastAsia="Calibri"/>
          <w:b/>
          <w:sz w:val="22"/>
          <w:szCs w:val="22"/>
          <w:lang w:eastAsia="en-US"/>
        </w:rPr>
      </w:pPr>
      <w:r w:rsidRPr="00F96B13">
        <w:rPr>
          <w:rFonts w:eastAsia="Calibri"/>
          <w:b/>
          <w:sz w:val="22"/>
          <w:szCs w:val="22"/>
          <w:lang w:eastAsia="en-US"/>
        </w:rPr>
        <w:t xml:space="preserve">Minuta celei de-a doua întâlniri a Grupului de lucru pentru Evaluarea Strategică de mediu (SEA) </w:t>
      </w:r>
    </w:p>
    <w:p w:rsidR="005B2059" w:rsidRPr="00F96B13" w:rsidRDefault="005B2059" w:rsidP="005B2059">
      <w:pPr>
        <w:spacing w:line="276" w:lineRule="auto"/>
        <w:jc w:val="center"/>
        <w:rPr>
          <w:rFonts w:eastAsia="Calibri"/>
          <w:b/>
          <w:sz w:val="22"/>
          <w:szCs w:val="22"/>
          <w:lang w:eastAsia="en-US"/>
        </w:rPr>
      </w:pPr>
      <w:r w:rsidRPr="00F96B13">
        <w:rPr>
          <w:rFonts w:eastAsia="Calibri"/>
          <w:b/>
          <w:sz w:val="22"/>
          <w:szCs w:val="22"/>
          <w:lang w:eastAsia="en-US"/>
        </w:rPr>
        <w:t>a Programului INTERREG VI-A România-Bulgaria 2021-2027</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Data:</w:t>
      </w:r>
      <w:r w:rsidRPr="00F96B13">
        <w:rPr>
          <w:rFonts w:eastAsia="Calibri"/>
          <w:sz w:val="22"/>
          <w:szCs w:val="22"/>
          <w:lang w:eastAsia="en-US"/>
        </w:rPr>
        <w:t xml:space="preserve"> 27.01.2022</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Locația</w:t>
      </w:r>
      <w:r w:rsidRPr="00F96B13">
        <w:rPr>
          <w:rFonts w:eastAsia="Calibri"/>
          <w:sz w:val="22"/>
          <w:szCs w:val="22"/>
          <w:lang w:eastAsia="en-US"/>
        </w:rPr>
        <w:t xml:space="preserve">: Online </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Participanți</w:t>
      </w:r>
      <w:r w:rsidRPr="00F96B13">
        <w:rPr>
          <w:rFonts w:eastAsia="Calibri"/>
          <w:sz w:val="22"/>
          <w:szCs w:val="22"/>
          <w:lang w:eastAsia="en-US"/>
        </w:rPr>
        <w:t xml:space="preserve">: Mihaela MĂCELARU – Ministerul Mediului, Apelor şi Pădurilor (Direcția Evaluare Impact și Controlul Poluării), Ana-Maria NISTORESCU - Ministerul Mediului, Apelor şi Pădurilor (Direcţia Gestionarea Deşeurilor), Andreea HARCEAG – Ministerul Mediului, Apelor şi Pădurilor (Directia Managementul Resurselor de Apa), Mirela TĂRBĂȘANU – Ministerul Mediului, Apelor şi Pădurilor (Direcția Schimbări Climatice și Dezvoltare Durabilă), Andrei ONCESCU – Ministerul Agriculturii şi Dezvoltării Rurale, Mihaela FULGA – Ministerul Sănătății, Ana PETRUŢA – Ministerul Transporturilor şi Infrastructurii, Iulia GUGIU - Ministerul Investitiilor si Proiectelor Europene, Răsvan ZAMFIR – </w:t>
      </w:r>
      <w:r w:rsidRPr="00F96B13">
        <w:rPr>
          <w:rFonts w:eastAsia="Calibri"/>
          <w:sz w:val="22"/>
          <w:szCs w:val="22"/>
          <w:lang w:eastAsia="en-US"/>
        </w:rPr>
        <w:lastRenderedPageBreak/>
        <w:t>Secretariat Comun (SC)/BRCT Călăraşi, Ruxandra CROITORU  - Administrația Națională Apele Române, Silvia COSTIUC – Ministerul Culturii; Adrian ONACĂ – Ministerul Educației, Marius NISTORESCU, Alexandra DOBA, Valentina COMAN – EPC Consultanță de mediu, Marcela GLODEANU, Simona VĂTAFU, Daniela NAPRADI, Bogdan TUDORICĂ – Autoritatea de Management, Vlad IRIMIE – CIVITTA.</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Principalele subiecte abordate în cadrul ședinței grupului de lucru au vizat</w:t>
      </w:r>
      <w:r w:rsidRPr="00F96B13">
        <w:rPr>
          <w:rFonts w:eastAsia="Calibri"/>
          <w:sz w:val="22"/>
          <w:szCs w:val="22"/>
          <w:lang w:eastAsia="en-US"/>
        </w:rPr>
        <w:t xml:space="preserve">: </w:t>
      </w:r>
    </w:p>
    <w:p w:rsidR="005B2059" w:rsidRPr="00F96B13" w:rsidRDefault="005B2059" w:rsidP="005B2059">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Prezentarea modificărilor Programului Interreg VI-A România Bulgaria 2021-2027;</w:t>
      </w:r>
    </w:p>
    <w:p w:rsidR="005B2059" w:rsidRPr="00F96B13" w:rsidRDefault="005B2059" w:rsidP="005B2059">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variantei draft a Raportului de Mediu. </w:t>
      </w:r>
    </w:p>
    <w:p w:rsidR="005B2059" w:rsidRPr="00F96B13" w:rsidRDefault="005B2059" w:rsidP="005B2059">
      <w:pPr>
        <w:spacing w:line="276" w:lineRule="auto"/>
        <w:ind w:left="770"/>
        <w:contextualSpacing/>
        <w:rPr>
          <w:rFonts w:eastAsia="Calibri"/>
          <w:sz w:val="22"/>
          <w:szCs w:val="22"/>
          <w:lang w:eastAsia="en-US"/>
        </w:rPr>
      </w:pPr>
    </w:p>
    <w:p w:rsidR="005B2059" w:rsidRPr="00F96B13" w:rsidRDefault="005B2059" w:rsidP="005B2059">
      <w:pPr>
        <w:spacing w:line="276" w:lineRule="auto"/>
        <w:contextualSpacing/>
        <w:rPr>
          <w:rFonts w:eastAsia="Calibri"/>
          <w:sz w:val="22"/>
          <w:szCs w:val="22"/>
          <w:lang w:eastAsia="en-US"/>
        </w:rPr>
      </w:pPr>
      <w:r w:rsidRPr="00F96B13">
        <w:rPr>
          <w:rFonts w:eastAsia="Calibri"/>
          <w:sz w:val="22"/>
          <w:szCs w:val="22"/>
          <w:lang w:eastAsia="en-US"/>
        </w:rPr>
        <w:t xml:space="preserve">Principalele aspecte cheie enunțate în cadrul întâlnirii Grupului de lucru de către participanți sunt prezentate tabelar în continuare: </w:t>
      </w:r>
    </w:p>
    <w:p w:rsidR="005B2059" w:rsidRPr="00F96B13" w:rsidRDefault="005B2059" w:rsidP="005B2059">
      <w:pPr>
        <w:spacing w:line="276" w:lineRule="auto"/>
        <w:contextualSpacing/>
        <w:rPr>
          <w:rFonts w:eastAsia="Calibri"/>
          <w:sz w:val="22"/>
          <w:szCs w:val="22"/>
          <w:lang w:eastAsia="en-US"/>
        </w:rPr>
      </w:pPr>
    </w:p>
    <w:tbl>
      <w:tblPr>
        <w:tblStyle w:val="TableGrid2"/>
        <w:tblW w:w="9540" w:type="dxa"/>
        <w:tblInd w:w="85" w:type="dxa"/>
        <w:tblLook w:val="04A0" w:firstRow="1" w:lastRow="0" w:firstColumn="1" w:lastColumn="0" w:noHBand="0" w:noVBand="1"/>
      </w:tblPr>
      <w:tblGrid>
        <w:gridCol w:w="2340"/>
        <w:gridCol w:w="7200"/>
      </w:tblGrid>
      <w:tr w:rsidR="005B2059" w:rsidRPr="00F96B13" w:rsidTr="00F525A7">
        <w:trPr>
          <w:trHeight w:val="513"/>
          <w:tblHeader/>
        </w:trPr>
        <w:tc>
          <w:tcPr>
            <w:tcW w:w="2340"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Participant</w:t>
            </w:r>
          </w:p>
        </w:tc>
        <w:tc>
          <w:tcPr>
            <w:tcW w:w="7200"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Aspecte cheie</w:t>
            </w:r>
          </w:p>
        </w:tc>
      </w:tr>
      <w:tr w:rsidR="005B2059" w:rsidRPr="00F96B13" w:rsidTr="00F525A7">
        <w:trPr>
          <w:trHeight w:val="746"/>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deschide ședința şi prezintă participanții noi ai Grupului de Lucru, ulterior îi dă cuvântul Dnei. Mihaela Măcelaru. </w:t>
            </w:r>
          </w:p>
        </w:tc>
      </w:tr>
      <w:tr w:rsidR="005B2059" w:rsidRPr="00F96B13" w:rsidTr="00F525A7">
        <w:trPr>
          <w:trHeight w:val="513"/>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Prezintă în ce etapă a procedurii SEA ne aflăm și subiectele ce vor fi abordate în întâlnirea de astăzi, de exemplu variante alternative, măsuri, monitorizare etc.</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Îi dă cuvântul Dlui. Vlad Irimie pentru a prezenta modificările realizate la tipurile de acțiuni ale programului față de versiunea prezentată la prima întâlnire a Grupului de Lucru.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Vlad Irimie</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Dl. Vlad Irimie menționează că singurele modificări sunt la Obiectivul Specific 3.2 iar lista de acțiuni este în continuare exhaustivă. Printre motivele pentru care s-au realizat aceste modificări se enumeră și bugetul programului. Discuțiile cu potențialii beneficiari sunt în curs de desfășurare, iar în urma modificărilor realizate la program s-au introdus și noi indicatori de monitorizare.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confirmă cele prezentate anterior și menționează că lucrările la infrastructura feroviară se vor realiza pe cea deja existentă și va presupune în primul rând activități de digitalizare și semnalizare, având în vedere bugetul redus. Acțiunile ce se vor realiza pe Dunăre presupun în principal lucrări de semnalizare/siguranță, scopul principal fiind îmbunătățirea conectivității între România și Bulgaria.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adresează întrebări titularului programului cu privire la acțiunile de dragare, dacă se vor mai realiza și de ce s-a renunțat la acțiunea cu gestionarea deșeurilor.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menționează că nu se vor mai realiza lucrările de dragare, sunt vizate lucrările de semnalizare a traficului pe Dunăre. Excluderea acțiunii cu gestionarea deșeurilor a fost propusă de către Comisia Europeană, deoarece nu se încadra în obiectivul specific aferent.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Glodeanu dă cuvântul Dlui. Marius Nistorescu pentru a prezenta varianta draft a Raportului de Mediu. </w:t>
            </w:r>
          </w:p>
        </w:tc>
      </w:tr>
      <w:tr w:rsidR="005B2059" w:rsidRPr="00F96B13" w:rsidTr="00F525A7">
        <w:trPr>
          <w:trHeight w:val="77"/>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Dl. Marius NISTORESCU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 menționează că, în prezentarea de astăzi, vor fi atinse toate punctele menționate de Dna. Măcelaru. Întocmirea Raportului de Mediu este rezultatul unei echipe mai mari ce include și experți de mediu și din Bulgaria, fapt pentru care s-</w:t>
            </w:r>
            <w:proofErr w:type="gramStart"/>
            <w:r w:rsidRPr="00F96B13">
              <w:rPr>
                <w:rFonts w:eastAsia="Calibri"/>
                <w:lang w:eastAsia="en-US"/>
              </w:rPr>
              <w:t>a</w:t>
            </w:r>
            <w:proofErr w:type="gramEnd"/>
            <w:r w:rsidRPr="00F96B13">
              <w:rPr>
                <w:rFonts w:eastAsia="Calibri"/>
                <w:lang w:eastAsia="en-US"/>
              </w:rPr>
              <w:t xml:space="preserve"> încercat utilizarea unor indicatori comuni, însă pot exista mici diferențe în prezentarea informațiilor. De asemenea au fost utilizate surse de date comune precum cele ale Comisiei Europene.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 prezintă varianta draft a Raportului de Mediu, prin punctarea următoarelor aspecte:</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Obiectivele programului, care nu au  suferit modificări față de prima întâlnire a Grupului de Lucru;</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Obiectivele relevante de mediu, unde ORM 14 a fost extins și reformulat, ca urmare a propunerii Institutului Național de Sănătate Publică;</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Nu au fost identificate incompatibilități între obiectivele programului și obiectivele SEA;</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În urma analizei compatibilității între obiectivele programului, în 50% din cazuri nu s-a identificat o legătură, însă un aspect pozitiv este faptul că nu au fost identificate incompatibilități;</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Rezultatele evaluării tipurilor de acțiuni ale programului, menționând că bunele practici impun utilizarea unei abordări precaute. Cel mai pun exemplu în această situație este acțiunea ce face referire la traseul EuroVelo6;</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Justificarea evaluării pe scurt, aceasta regăsindu-se în forma detaliată în cadrul Raportului de Mediu;</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Pentru analiza alternativelor s-a ținut cont doar de prima și ultima versiune a programului deoarece au existat mai multe variante intermediare. De exemplu în situația în care nu se renunța la acțiunile ce fac referire la dragare și infrastructura rutieră, exista posibilitatea generării unui impact negativ semnificativ;</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Prezentarea măsurilor formulate cu mențiunea că acestea oferă o plasă de protecției aspectelor de mediu;</w:t>
            </w:r>
          </w:p>
          <w:p w:rsidR="005B2059" w:rsidRPr="00F96B13" w:rsidRDefault="005B2059" w:rsidP="00F525A7">
            <w:pPr>
              <w:numPr>
                <w:ilvl w:val="0"/>
                <w:numId w:val="22"/>
              </w:numPr>
              <w:spacing w:before="0" w:after="0" w:line="240" w:lineRule="auto"/>
              <w:contextualSpacing/>
              <w:rPr>
                <w:rFonts w:eastAsia="Calibri"/>
                <w:lang w:eastAsia="en-US"/>
              </w:rPr>
            </w:pPr>
            <w:r w:rsidRPr="00F96B13">
              <w:rPr>
                <w:rFonts w:eastAsia="Calibri"/>
                <w:lang w:eastAsia="en-US"/>
              </w:rPr>
              <w:t>Prezentarea indicatorilor propuși de monitorizare.</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Silvia COSTIUC</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În cadrul Raportului de Mediu la </w:t>
            </w:r>
            <w:r w:rsidRPr="00F96B13">
              <w:rPr>
                <w:rFonts w:eastAsia="Calibri"/>
                <w:i/>
                <w:iCs/>
                <w:lang w:eastAsia="en-US"/>
              </w:rPr>
              <w:t>3.1.9 Patrimoniul cultural</w:t>
            </w:r>
            <w:r w:rsidRPr="00F96B13">
              <w:rPr>
                <w:rFonts w:eastAsia="Calibri"/>
                <w:lang w:eastAsia="en-US"/>
              </w:rPr>
              <w:t xml:space="preserve">, </w:t>
            </w:r>
            <w:proofErr w:type="gramStart"/>
            <w:r w:rsidRPr="00F96B13">
              <w:rPr>
                <w:rFonts w:eastAsia="Calibri"/>
                <w:lang w:eastAsia="en-US"/>
              </w:rPr>
              <w:t>a</w:t>
            </w:r>
            <w:proofErr w:type="gramEnd"/>
            <w:r w:rsidRPr="00F96B13">
              <w:rPr>
                <w:rFonts w:eastAsia="Calibri"/>
                <w:lang w:eastAsia="en-US"/>
              </w:rPr>
              <w:t xml:space="preserve"> identificat lipsa unor fraze necesare în cadrul subcapitolului pentru o descriere unitară între România și Bulgaria, și menționează că va transmite sugestiile pe email. De asemenea propune ca în cadrul obiectivului specific 5.2 să fie evidențiat mai bine patrimoniul cultural.  </w:t>
            </w:r>
          </w:p>
        </w:tc>
      </w:tr>
      <w:tr w:rsidR="005B2059" w:rsidRPr="00F96B13" w:rsidTr="00F525A7">
        <w:trPr>
          <w:trHeight w:val="654"/>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Menționează că elaborarea Raportului de Mediu s-a realizat în limba engleză, și aceasta varianta reprezintă o variantă tradusă, motiv pentru care există posibilitatea unor mici diferențe, însă se va realiza o verificare a întregului Raport de Mediu iar toate observațiile sunt </w:t>
            </w:r>
            <w:r w:rsidRPr="00F96B13">
              <w:rPr>
                <w:rFonts w:eastAsia="Calibri"/>
                <w:lang w:eastAsia="en-US"/>
              </w:rPr>
              <w:lastRenderedPageBreak/>
              <w:t xml:space="preserve">foarte utile. </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menționează că nu este posibilă modificarea formulării obiectivului specific deoarece acestea sunt denumirile stabilite prin regulamentele UE.  </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FULGA</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În cadrul Raportului de Mediu la </w:t>
            </w:r>
            <w:r w:rsidRPr="00F96B13">
              <w:rPr>
                <w:rFonts w:eastAsia="Calibri"/>
                <w:i/>
                <w:iCs/>
                <w:lang w:eastAsia="en-US"/>
              </w:rPr>
              <w:t>3.1.3.7</w:t>
            </w:r>
            <w:r w:rsidRPr="00F96B13">
              <w:rPr>
                <w:rFonts w:eastAsia="Calibri"/>
                <w:i/>
                <w:iCs/>
                <w:lang w:eastAsia="en-US"/>
              </w:rPr>
              <w:tab/>
              <w:t>Boala și morbiditatea populației</w:t>
            </w:r>
            <w:r w:rsidRPr="00F96B13">
              <w:rPr>
                <w:rFonts w:eastAsia="Calibri"/>
                <w:lang w:eastAsia="en-US"/>
              </w:rPr>
              <w:t xml:space="preserve">, este necesară o modificare și detaliere a denumirii subcapitolului. Va transmite pe email propunerile. </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Andreea HARCEAG</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Solicită mai mult timp pentru analiza variantei draft a Raportului de Mediu. </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Menționează că este timp pentru analiza variantei draft a Raportului de Mediu deoarece se va realiza și întâlnirea nr. 3 a Grupului de Lucru.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 prezintă observațiile și recomandările cu privire la varianta draft a Raportului de Mediu, punctând următoarele aspecte:</w:t>
            </w:r>
          </w:p>
          <w:p w:rsidR="005B2059" w:rsidRPr="00F96B13" w:rsidRDefault="005B2059" w:rsidP="00F525A7">
            <w:pPr>
              <w:numPr>
                <w:ilvl w:val="0"/>
                <w:numId w:val="23"/>
              </w:numPr>
              <w:spacing w:before="0" w:after="0" w:line="240" w:lineRule="auto"/>
              <w:contextualSpacing/>
              <w:rPr>
                <w:rFonts w:eastAsia="Calibri"/>
                <w:i/>
                <w:iCs/>
                <w:lang w:eastAsia="en-US"/>
              </w:rPr>
            </w:pPr>
            <w:r w:rsidRPr="00F96B13">
              <w:rPr>
                <w:rFonts w:eastAsia="Calibri"/>
                <w:i/>
                <w:iCs/>
                <w:lang w:eastAsia="en-US"/>
              </w:rPr>
              <w:t>Subcapitol 3.2 Evoluţia stării mediului în situaţia neimplementării programului</w:t>
            </w:r>
            <w:r w:rsidRPr="00F96B13">
              <w:rPr>
                <w:rFonts w:eastAsia="Calibri"/>
                <w:lang w:eastAsia="en-US"/>
              </w:rPr>
              <w:t xml:space="preserve"> – de prezentat câteva concluzii ale tabelelor;</w:t>
            </w:r>
            <w:r w:rsidRPr="00F96B13">
              <w:rPr>
                <w:rFonts w:eastAsia="Calibri"/>
                <w:i/>
                <w:iCs/>
                <w:lang w:eastAsia="en-US"/>
              </w:rPr>
              <w:t xml:space="preserve"> </w:t>
            </w:r>
          </w:p>
          <w:p w:rsidR="005B2059" w:rsidRPr="00F96B13" w:rsidRDefault="005B2059" w:rsidP="00F525A7">
            <w:pPr>
              <w:numPr>
                <w:ilvl w:val="0"/>
                <w:numId w:val="23"/>
              </w:numPr>
              <w:spacing w:before="0" w:after="0" w:line="240" w:lineRule="auto"/>
              <w:contextualSpacing/>
              <w:rPr>
                <w:rFonts w:eastAsia="Calibri"/>
                <w:i/>
                <w:iCs/>
                <w:lang w:eastAsia="en-US"/>
              </w:rPr>
            </w:pPr>
            <w:r w:rsidRPr="00F96B13">
              <w:rPr>
                <w:rFonts w:eastAsia="Calibri"/>
                <w:i/>
                <w:iCs/>
                <w:lang w:eastAsia="en-US"/>
              </w:rPr>
              <w:t>Capitol 4 Caracteristicile de mediu ale zonelor posibil a fi afectate semnificativ de implementarea programului – de prezentat concluziile capitolului și detalierea zonelor vulnerabile/sensibile, de prezentat alternativa selectată;</w:t>
            </w:r>
          </w:p>
          <w:p w:rsidR="005B2059" w:rsidRPr="00F96B13" w:rsidRDefault="005B2059" w:rsidP="00F525A7">
            <w:pPr>
              <w:numPr>
                <w:ilvl w:val="0"/>
                <w:numId w:val="23"/>
              </w:numPr>
              <w:spacing w:before="0" w:after="0" w:line="240" w:lineRule="auto"/>
              <w:contextualSpacing/>
              <w:rPr>
                <w:rFonts w:eastAsia="Calibri"/>
                <w:i/>
                <w:iCs/>
                <w:lang w:eastAsia="en-US"/>
              </w:rPr>
            </w:pPr>
            <w:r w:rsidRPr="00F96B13">
              <w:rPr>
                <w:rFonts w:eastAsia="Calibri"/>
                <w:i/>
                <w:iCs/>
                <w:lang w:eastAsia="en-US"/>
              </w:rPr>
              <w:t>Capitol 5 - Probleme de mediu existente relevante pentru program – de clarificat si reformulat câteva dintre problemele de mediu (de exemplu spor natural negativ, diminuarea emisiilor GES nu reprezintă o problemă de mediu, patrimoniul cultural –exista riscul unui potential neexploatat, etc), toate observațiile de care să se țină cont se vor transmite pe email;</w:t>
            </w:r>
          </w:p>
          <w:p w:rsidR="005B2059" w:rsidRPr="00F96B13" w:rsidRDefault="005B2059" w:rsidP="00F525A7">
            <w:pPr>
              <w:numPr>
                <w:ilvl w:val="0"/>
                <w:numId w:val="23"/>
              </w:numPr>
              <w:spacing w:before="0" w:after="0" w:line="240" w:lineRule="auto"/>
              <w:contextualSpacing/>
              <w:rPr>
                <w:rFonts w:eastAsia="Calibri"/>
                <w:i/>
                <w:iCs/>
                <w:lang w:eastAsia="en-US"/>
              </w:rPr>
            </w:pPr>
            <w:r w:rsidRPr="00F96B13">
              <w:rPr>
                <w:rFonts w:eastAsia="Calibri"/>
                <w:i/>
                <w:iCs/>
                <w:lang w:eastAsia="en-US"/>
              </w:rPr>
              <w:t>Capitol 6 Obiective de protecție a mediului stabilite la nivel național, comunitar sau internațional care sunt relevante pentru program: clarificări privind modul de prezentare a obiectivelor României și ale Bulgariei, de ce nu sunt prezentate unitar (ținte și pentru România la fel ca în Bulgaria); Modificări ale formulării obiectivelor relevante de mediu (ORM8, ORM14 etc), de inclus 2 obiective relevante de mediu (managementul riscurilor și conștientizarea populației) pentru a exista o compatibilitate mai mare cu programul; reformulare obiective relevante de mediu in concordanta cu aspectele de mediu;</w:t>
            </w:r>
          </w:p>
          <w:p w:rsidR="005B2059" w:rsidRPr="00F96B13" w:rsidRDefault="005B2059" w:rsidP="00F525A7">
            <w:pPr>
              <w:numPr>
                <w:ilvl w:val="0"/>
                <w:numId w:val="23"/>
              </w:numPr>
              <w:spacing w:before="0" w:after="0" w:line="276" w:lineRule="auto"/>
              <w:contextualSpacing/>
              <w:rPr>
                <w:rFonts w:eastAsia="Calibri"/>
                <w:i/>
                <w:iCs/>
                <w:lang w:eastAsia="en-US"/>
              </w:rPr>
            </w:pPr>
            <w:r w:rsidRPr="00F96B13">
              <w:rPr>
                <w:rFonts w:eastAsia="Calibri"/>
                <w:i/>
                <w:iCs/>
                <w:lang w:eastAsia="en-US"/>
              </w:rPr>
              <w:t>Capitolul 8. Efecte potentiale semnificative pentru mediu si sanatate in context transfrontalier - detaliat cu impactul pozitiv transfrontalier si efectele cumulate;</w:t>
            </w:r>
          </w:p>
          <w:p w:rsidR="005B2059" w:rsidRPr="00F96B13" w:rsidRDefault="005B2059" w:rsidP="00F525A7">
            <w:pPr>
              <w:numPr>
                <w:ilvl w:val="0"/>
                <w:numId w:val="23"/>
              </w:numPr>
              <w:spacing w:before="0" w:after="0" w:line="276" w:lineRule="auto"/>
              <w:contextualSpacing/>
              <w:rPr>
                <w:rFonts w:eastAsia="Calibri"/>
                <w:i/>
                <w:iCs/>
                <w:lang w:eastAsia="en-US"/>
              </w:rPr>
            </w:pPr>
            <w:r w:rsidRPr="00F96B13">
              <w:rPr>
                <w:rFonts w:eastAsia="Calibri"/>
                <w:i/>
                <w:iCs/>
                <w:lang w:eastAsia="en-US"/>
              </w:rPr>
              <w:t xml:space="preserve">Capitolul 10 – Expunerea motivelor care au condus la selectarea variantelor alese - reformularea capitolului cu includerea alternativei zero si comparatia cu obiectivele si prioritatile </w:t>
            </w:r>
            <w:r w:rsidRPr="00F96B13">
              <w:rPr>
                <w:rFonts w:eastAsia="Calibri"/>
                <w:i/>
                <w:iCs/>
                <w:lang w:eastAsia="en-US"/>
              </w:rPr>
              <w:lastRenderedPageBreak/>
              <w:t>selectate sau scenarii do nothing, do minim, do maxim, plus includerea concluziilor;</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Propunerea măsurilor pentru toate obiectivele relevante de mediu;</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Eliminare frază ”S-a încercat pe cât posibil propunerea unui set de indicatori simpli și unitari, pentru care să nu fie necesare eforturi suplimentare” – capitol 11;</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Propunere indicatori de monitorizare pentru toate obiectivele relevante de mediu și desemnare organisme responsabile de monitorizare și evaluare;</w:t>
            </w:r>
          </w:p>
          <w:p w:rsidR="005B2059" w:rsidRPr="00F96B13" w:rsidRDefault="005B2059" w:rsidP="00F525A7">
            <w:pPr>
              <w:numPr>
                <w:ilvl w:val="0"/>
                <w:numId w:val="23"/>
              </w:numPr>
              <w:spacing w:before="0" w:after="0" w:line="240" w:lineRule="auto"/>
              <w:contextualSpacing/>
              <w:rPr>
                <w:rFonts w:eastAsia="Calibri"/>
                <w:i/>
                <w:iCs/>
                <w:lang w:eastAsia="en-US"/>
              </w:rPr>
            </w:pPr>
            <w:r w:rsidRPr="00F96B13">
              <w:rPr>
                <w:rFonts w:eastAsia="Calibri"/>
                <w:lang w:eastAsia="en-US"/>
              </w:rPr>
              <w:t xml:space="preserve">Realizare capitol separat (înainte de capitolul 12 Rezumat fără caracter tehnic) – </w:t>
            </w:r>
            <w:r w:rsidRPr="00F96B13">
              <w:rPr>
                <w:rFonts w:eastAsia="Calibri"/>
                <w:i/>
                <w:iCs/>
                <w:lang w:eastAsia="en-US"/>
              </w:rPr>
              <w:t>Dificultăți întâmpinate în analizele din cadrul SEA;</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 xml:space="preserve">Actualizare/verificare </w:t>
            </w:r>
            <w:proofErr w:type="gramStart"/>
            <w:r w:rsidRPr="00F96B13">
              <w:rPr>
                <w:rFonts w:eastAsia="Calibri"/>
                <w:lang w:eastAsia="en-US"/>
              </w:rPr>
              <w:t>a</w:t>
            </w:r>
            <w:proofErr w:type="gramEnd"/>
            <w:r w:rsidRPr="00F96B13">
              <w:rPr>
                <w:rFonts w:eastAsia="Calibri"/>
                <w:lang w:eastAsia="en-US"/>
              </w:rPr>
              <w:t xml:space="preserve"> anexei 14.1 relației cu alte planuri și programe si strategii relevante.</w:t>
            </w:r>
          </w:p>
        </w:tc>
      </w:tr>
      <w:tr w:rsidR="005B2059" w:rsidRPr="00F96B13" w:rsidTr="00F525A7">
        <w:trPr>
          <w:trHeight w:val="48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Dl. Marius NISTORESCU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Prezintă clarificări pentru recomandările/observațiile anterioare:</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Se vor prezenta concluziile tabelelor din cadrul subcapitolului 3.2;</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Se va menționa mai detaliat că nu sunt zone afectate de implementarea programului și se va detalia alternativa aleasă;</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Se vor verifica și revizui principalele probleme de mediu relevante pentru program;</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Obiectivele prezentate pentru România și Bulgaria sunt preluate din Strategia Națională pentru Dezvoltare Durabilă 2030 a României și Bulgariei, iar acesta este modul lor de prezentare. Se va ține cont de sugestiile de modificare a obiectivelor relevante de mediu;</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Măsurile au fost formulate pentru situațiile în care a fost identificat un efect negativ nesemnificativ asupra obiectivelor relevante de mediu sau ca măsuri preventive;</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Se va elimina fraza menționată;</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 xml:space="preserve">Indicatorii de monitorizare au fost propuși în funcție de măsurile propuse, se vor desemna organismele responsabile de monitorizare și evaluare; </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 xml:space="preserve">Conform </w:t>
            </w:r>
            <w:r w:rsidRPr="00F96B13">
              <w:rPr>
                <w:rFonts w:eastAsia="Calibri"/>
                <w:i/>
                <w:iCs/>
                <w:lang w:eastAsia="en-US"/>
              </w:rPr>
              <w:t>Conținutului cadrul al Raportului de Mediu</w:t>
            </w:r>
            <w:r w:rsidRPr="00F96B13">
              <w:rPr>
                <w:rFonts w:eastAsia="Calibri"/>
                <w:lang w:eastAsia="en-US"/>
              </w:rPr>
              <w:t xml:space="preserve"> din HG 1076/2004 acest capitol (</w:t>
            </w:r>
            <w:r w:rsidRPr="00F96B13">
              <w:rPr>
                <w:rFonts w:eastAsia="Calibri"/>
                <w:i/>
                <w:iCs/>
                <w:lang w:eastAsia="en-US"/>
              </w:rPr>
              <w:t>Dificultăți întâmpinate în analizele din cadrul SEA)</w:t>
            </w:r>
            <w:r w:rsidRPr="00F96B13">
              <w:rPr>
                <w:rFonts w:eastAsia="Calibri"/>
                <w:lang w:eastAsia="en-US"/>
              </w:rPr>
              <w:t xml:space="preserve"> nu reprezentă o cerință;</w:t>
            </w:r>
          </w:p>
          <w:p w:rsidR="005B2059" w:rsidRPr="00F96B13" w:rsidRDefault="005B2059" w:rsidP="00F525A7">
            <w:pPr>
              <w:numPr>
                <w:ilvl w:val="0"/>
                <w:numId w:val="23"/>
              </w:numPr>
              <w:spacing w:before="0" w:after="0" w:line="240" w:lineRule="auto"/>
              <w:contextualSpacing/>
              <w:rPr>
                <w:rFonts w:eastAsia="Calibri"/>
                <w:lang w:eastAsia="en-US"/>
              </w:rPr>
            </w:pPr>
            <w:r w:rsidRPr="00F96B13">
              <w:rPr>
                <w:rFonts w:eastAsia="Calibri"/>
                <w:lang w:eastAsia="en-US"/>
              </w:rPr>
              <w:t xml:space="preserve">Se </w:t>
            </w:r>
            <w:proofErr w:type="gramStart"/>
            <w:r w:rsidRPr="00F96B13">
              <w:rPr>
                <w:rFonts w:eastAsia="Calibri"/>
                <w:lang w:eastAsia="en-US"/>
              </w:rPr>
              <w:t>va</w:t>
            </w:r>
            <w:proofErr w:type="gramEnd"/>
            <w:r w:rsidRPr="00F96B13">
              <w:rPr>
                <w:rFonts w:eastAsia="Calibri"/>
                <w:lang w:eastAsia="en-US"/>
              </w:rPr>
              <w:t xml:space="preserve"> actualiza/verifica relația cu alte planuri și programe.</w:t>
            </w:r>
          </w:p>
        </w:tc>
      </w:tr>
    </w:tbl>
    <w:p w:rsidR="005B2059" w:rsidRPr="00F96B13" w:rsidRDefault="005B2059" w:rsidP="005B2059">
      <w:pPr>
        <w:spacing w:line="276" w:lineRule="auto"/>
        <w:rPr>
          <w:rFonts w:eastAsia="Calibri"/>
          <w:sz w:val="22"/>
          <w:szCs w:val="22"/>
          <w:lang w:eastAsia="en-US"/>
        </w:rPr>
      </w:pPr>
    </w:p>
    <w:p w:rsidR="005B2059" w:rsidRPr="00F96B13" w:rsidRDefault="005B2059" w:rsidP="005B2059">
      <w:pPr>
        <w:spacing w:line="276" w:lineRule="auto"/>
        <w:rPr>
          <w:rFonts w:eastAsia="Calibri"/>
          <w:sz w:val="22"/>
          <w:szCs w:val="22"/>
          <w:lang w:eastAsia="en-US"/>
        </w:rPr>
      </w:pPr>
      <w:r w:rsidRPr="00F96B13">
        <w:rPr>
          <w:rFonts w:eastAsia="Calibri"/>
          <w:sz w:val="22"/>
          <w:szCs w:val="22"/>
          <w:lang w:eastAsia="en-US"/>
        </w:rPr>
        <w:t xml:space="preserve">Concluziile întâlnirii: Se așteaptă primirea comentariilor/observațiilor formulate în cadrul ședinței, cât de repede posibil pentru finalizarea raportului SEA. Draft-ul minutei va fi transmis spre consultare membrilor GL, urmând a fi transmisă şi varianta finală aprobată. Se va stabili data celei de-a treia </w:t>
      </w:r>
      <w:r w:rsidRPr="00F96B13">
        <w:rPr>
          <w:rFonts w:eastAsia="Calibri"/>
          <w:sz w:val="22"/>
          <w:szCs w:val="22"/>
          <w:lang w:eastAsia="en-US"/>
        </w:rPr>
        <w:lastRenderedPageBreak/>
        <w:t>întâlniri, aceasta fiind comunicată în timp util membrilor GL, în vederea analizării eventualelor modificări aduse Raportului de Mediu.</w:t>
      </w:r>
    </w:p>
    <w:p w:rsidR="005B2059" w:rsidRPr="00F96B13" w:rsidRDefault="00051A92" w:rsidP="005B2059">
      <w:pPr>
        <w:spacing w:line="276" w:lineRule="auto"/>
        <w:rPr>
          <w:rFonts w:eastAsia="Calibri"/>
          <w:sz w:val="22"/>
          <w:szCs w:val="22"/>
          <w:lang w:eastAsia="en-US"/>
        </w:rPr>
      </w:pPr>
      <w:hyperlink r:id="rId20" w:history="1">
        <w:r w:rsidR="005B2059" w:rsidRPr="00F96B13">
          <w:rPr>
            <w:rFonts w:eastAsia="Calibri"/>
            <w:color w:val="0563C1"/>
            <w:sz w:val="22"/>
            <w:szCs w:val="22"/>
            <w:u w:val="single"/>
            <w:lang w:eastAsia="en-US"/>
          </w:rPr>
          <w:t>https://ncloud.mdrap.ro/s/mALmQ9Q6TzWMd2i</w:t>
        </w:r>
      </w:hyperlink>
      <w:r w:rsidR="005B2059" w:rsidRPr="00F96B13">
        <w:rPr>
          <w:rFonts w:eastAsia="Calibri"/>
          <w:sz w:val="22"/>
          <w:szCs w:val="22"/>
          <w:lang w:eastAsia="en-US"/>
        </w:rPr>
        <w:t xml:space="preserve"> (extern)</w:t>
      </w:r>
    </w:p>
    <w:p w:rsidR="005B2059" w:rsidRPr="00F96B13" w:rsidRDefault="005B2059" w:rsidP="005B2059">
      <w:pPr>
        <w:spacing w:line="276" w:lineRule="auto"/>
        <w:rPr>
          <w:rFonts w:eastAsia="Calibri"/>
          <w:sz w:val="22"/>
          <w:szCs w:val="22"/>
          <w:lang w:eastAsia="en-US"/>
        </w:rPr>
      </w:pPr>
      <w:r w:rsidRPr="00F96B13">
        <w:rPr>
          <w:rFonts w:eastAsia="Calibri"/>
          <w:sz w:val="22"/>
          <w:szCs w:val="22"/>
          <w:lang w:eastAsia="en-US"/>
        </w:rPr>
        <w:t>Parola: noiN6J5e</w:t>
      </w:r>
    </w:p>
    <w:p w:rsidR="005B2059" w:rsidRPr="00F96B13" w:rsidRDefault="00051A92" w:rsidP="005B2059">
      <w:pPr>
        <w:spacing w:line="276" w:lineRule="auto"/>
        <w:rPr>
          <w:rFonts w:eastAsia="Calibri"/>
          <w:sz w:val="22"/>
          <w:szCs w:val="22"/>
          <w:lang w:eastAsia="en-US"/>
        </w:rPr>
      </w:pPr>
      <w:hyperlink r:id="rId21" w:history="1">
        <w:r w:rsidR="005B2059" w:rsidRPr="00F96B13">
          <w:rPr>
            <w:rFonts w:eastAsia="Calibri"/>
            <w:color w:val="0563C1"/>
            <w:sz w:val="22"/>
            <w:szCs w:val="22"/>
            <w:u w:val="single"/>
            <w:lang w:eastAsia="en-US"/>
          </w:rPr>
          <w:t>https://ncloud.mdrap.ro/f/5725380</w:t>
        </w:r>
      </w:hyperlink>
      <w:r w:rsidR="005B2059" w:rsidRPr="00F96B13">
        <w:rPr>
          <w:rFonts w:eastAsia="Calibri"/>
          <w:sz w:val="22"/>
          <w:szCs w:val="22"/>
          <w:lang w:eastAsia="en-US"/>
        </w:rPr>
        <w:t xml:space="preserve"> (intern)</w:t>
      </w:r>
    </w:p>
    <w:p w:rsidR="005B2059" w:rsidRPr="00F96B13" w:rsidRDefault="005B2059" w:rsidP="005B2059">
      <w:pPr>
        <w:spacing w:line="276" w:lineRule="auto"/>
        <w:rPr>
          <w:rFonts w:eastAsia="Calibri"/>
          <w:sz w:val="22"/>
          <w:szCs w:val="22"/>
          <w:lang w:eastAsia="en-US"/>
        </w:rPr>
      </w:pPr>
    </w:p>
    <w:p w:rsidR="00F96B13" w:rsidRPr="00D23996" w:rsidRDefault="00F96B13" w:rsidP="00F96B13">
      <w:pPr>
        <w:spacing w:line="276" w:lineRule="auto"/>
        <w:rPr>
          <w:rFonts w:eastAsia="Calibri"/>
          <w:sz w:val="22"/>
          <w:szCs w:val="22"/>
          <w:lang w:val="bg-BG" w:eastAsia="en-US"/>
        </w:rPr>
      </w:pPr>
    </w:p>
    <w:p w:rsidR="00F96B13" w:rsidRPr="00D23996" w:rsidRDefault="00F96B13" w:rsidP="00F96B13">
      <w:pPr>
        <w:spacing w:line="276" w:lineRule="auto"/>
        <w:rPr>
          <w:rFonts w:eastAsia="Calibri"/>
          <w:sz w:val="22"/>
          <w:szCs w:val="22"/>
          <w:lang w:val="bg-BG" w:eastAsia="en-US"/>
        </w:rPr>
      </w:pPr>
      <w:r w:rsidRPr="00D23996">
        <w:rPr>
          <w:rFonts w:eastAsia="Calibri"/>
          <w:noProof/>
          <w:sz w:val="22"/>
          <w:szCs w:val="22"/>
          <w:lang w:val="en-US" w:eastAsia="en-US"/>
        </w:rPr>
        <w:drawing>
          <wp:inline distT="0" distB="0" distL="0" distR="0" wp14:anchorId="1DA72473" wp14:editId="302E0461">
            <wp:extent cx="5943600" cy="3343275"/>
            <wp:effectExtent l="0" t="0" r="0" b="9525"/>
            <wp:docPr id="10" name="Picture 10" descr="\\Drmie_dgcte\dcti\post 2020\PROGRAME\Ro-Bg 2021-2027\PROGRAMARE\Program Operational\SEA\Declansare procedura SEA\Constituire grup de lucru\2. Intalnire\Minuta si poz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mie_dgcte\dcti\post 2020\PROGRAME\Ro-Bg 2021-2027\PROGRAMARE\Program Operational\SEA\Declansare procedura SEA\Constituire grup de lucru\2. Intalnire\Minuta si poze\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F96B13" w:rsidRPr="00D23996" w:rsidRDefault="00F96B13" w:rsidP="00F96B13">
      <w:pPr>
        <w:spacing w:line="276" w:lineRule="auto"/>
        <w:rPr>
          <w:rFonts w:eastAsia="Calibri"/>
          <w:sz w:val="22"/>
          <w:szCs w:val="22"/>
          <w:lang w:val="bg-BG" w:eastAsia="en-US"/>
        </w:rPr>
      </w:pPr>
      <w:r w:rsidRPr="00D23996">
        <w:rPr>
          <w:rFonts w:eastAsia="Calibri"/>
          <w:noProof/>
          <w:sz w:val="22"/>
          <w:szCs w:val="22"/>
          <w:lang w:val="en-US" w:eastAsia="en-US"/>
        </w:rPr>
        <w:lastRenderedPageBreak/>
        <w:drawing>
          <wp:inline distT="0" distB="0" distL="0" distR="0" wp14:anchorId="706AC458" wp14:editId="4AFB4C45">
            <wp:extent cx="5943600" cy="3343275"/>
            <wp:effectExtent l="0" t="0" r="0" b="9525"/>
            <wp:docPr id="11" name="Picture 11" descr="\\Drmie_dgcte\dcti\post 2020\PROGRAME\Ro-Bg 2021-2027\PROGRAMARE\Program Operational\SEA\Declansare procedura SEA\Constituire grup de lucru\2. Intalnire\Minuta si poz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mie_dgcte\dcti\post 2020\PROGRAME\Ro-Bg 2021-2027\PROGRAMARE\Program Operational\SEA\Declansare procedura SEA\Constituire grup de lucru\2. Intalnire\Minuta si poze\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F96B13" w:rsidRPr="00D23996" w:rsidRDefault="00F96B13" w:rsidP="00F55498">
      <w:pPr>
        <w:rPr>
          <w:rFonts w:ascii="Trebuchet MS" w:hAnsi="Trebuchet MS"/>
          <w:sz w:val="22"/>
          <w:szCs w:val="22"/>
          <w:lang w:val="bg-BG"/>
        </w:rPr>
      </w:pPr>
    </w:p>
    <w:p w:rsidR="005B2059" w:rsidRPr="00F96B13" w:rsidRDefault="005B2059" w:rsidP="005B2059">
      <w:pPr>
        <w:spacing w:line="276" w:lineRule="auto"/>
        <w:jc w:val="right"/>
        <w:rPr>
          <w:rFonts w:eastAsia="Calibri"/>
          <w:b/>
          <w:sz w:val="22"/>
          <w:szCs w:val="22"/>
          <w:lang w:eastAsia="en-US"/>
        </w:rPr>
      </w:pPr>
      <w:r w:rsidRPr="00F96B13">
        <w:rPr>
          <w:rFonts w:eastAsia="Calibri"/>
          <w:b/>
          <w:sz w:val="22"/>
          <w:szCs w:val="22"/>
          <w:lang w:eastAsia="en-US"/>
        </w:rPr>
        <w:t>30340/16.02.2022</w:t>
      </w:r>
    </w:p>
    <w:p w:rsidR="005B2059" w:rsidRPr="00F96B13" w:rsidRDefault="005B2059" w:rsidP="005B2059">
      <w:pPr>
        <w:spacing w:line="276" w:lineRule="auto"/>
        <w:jc w:val="right"/>
        <w:rPr>
          <w:rFonts w:eastAsia="Calibri"/>
          <w:b/>
          <w:sz w:val="22"/>
          <w:szCs w:val="22"/>
          <w:lang w:eastAsia="en-US"/>
        </w:rPr>
      </w:pPr>
    </w:p>
    <w:p w:rsidR="005B2059" w:rsidRPr="00F96B13" w:rsidRDefault="005B2059" w:rsidP="005B2059">
      <w:pPr>
        <w:spacing w:line="276" w:lineRule="auto"/>
        <w:jc w:val="center"/>
        <w:rPr>
          <w:rFonts w:eastAsia="Calibri"/>
          <w:b/>
          <w:sz w:val="22"/>
          <w:szCs w:val="22"/>
          <w:lang w:eastAsia="en-US"/>
        </w:rPr>
      </w:pPr>
      <w:r w:rsidRPr="00F96B13">
        <w:rPr>
          <w:rFonts w:eastAsia="Calibri"/>
          <w:b/>
          <w:sz w:val="22"/>
          <w:szCs w:val="22"/>
          <w:lang w:eastAsia="en-US"/>
        </w:rPr>
        <w:t xml:space="preserve">Minuta celei de-a treia întâlniri a Grupului de lucru pentru Evaluarea Strategică de mediu (SEA) </w:t>
      </w:r>
    </w:p>
    <w:p w:rsidR="005B2059" w:rsidRPr="00F96B13" w:rsidRDefault="005B2059" w:rsidP="005B2059">
      <w:pPr>
        <w:spacing w:line="276" w:lineRule="auto"/>
        <w:jc w:val="center"/>
        <w:rPr>
          <w:rFonts w:eastAsia="Calibri"/>
          <w:b/>
          <w:sz w:val="22"/>
          <w:szCs w:val="22"/>
          <w:lang w:eastAsia="en-US"/>
        </w:rPr>
      </w:pPr>
      <w:r w:rsidRPr="00F96B13">
        <w:rPr>
          <w:rFonts w:eastAsia="Calibri"/>
          <w:b/>
          <w:sz w:val="22"/>
          <w:szCs w:val="22"/>
          <w:lang w:eastAsia="en-US"/>
        </w:rPr>
        <w:t>a Programului Interreg VI-A România-Bulgaria 2021-2027</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Data:</w:t>
      </w:r>
      <w:r w:rsidRPr="00F96B13">
        <w:rPr>
          <w:rFonts w:eastAsia="Calibri"/>
          <w:sz w:val="22"/>
          <w:szCs w:val="22"/>
          <w:lang w:eastAsia="en-US"/>
        </w:rPr>
        <w:t xml:space="preserve"> 16.02.2022</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Locația</w:t>
      </w:r>
      <w:r w:rsidRPr="00F96B13">
        <w:rPr>
          <w:rFonts w:eastAsia="Calibri"/>
          <w:sz w:val="22"/>
          <w:szCs w:val="22"/>
          <w:lang w:eastAsia="en-US"/>
        </w:rPr>
        <w:t xml:space="preserve">: Online </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Participanți</w:t>
      </w:r>
      <w:r w:rsidRPr="00F96B13">
        <w:rPr>
          <w:rFonts w:eastAsia="Calibri"/>
          <w:sz w:val="22"/>
          <w:szCs w:val="22"/>
          <w:lang w:eastAsia="en-US"/>
        </w:rPr>
        <w:t xml:space="preserve">: Mihaela MĂCELARU – Ministerul Mediului, Apelor şi Pădurilor (Direcția Evaluare Impact și Controlul Poluării), Ana-Maria NISTORESCU - Ministerul Mediului, Apelor şi Pădurilor (Direcția Gestionarea Deșeurilor), Mirela TĂRBĂȘANU – Ministerul Mediului, Apelor şi Pădurilor (Direcția Schimbări Climatice și Dezvoltare Durabilă), Corina-Cosmina BOSCORNEA (Administrația Națională Apele Române), Mihaela FULGA – Ministerul Sănătății, Cristina LAZANU – Ministerul Transporturilor şi Infrastructurii, Valentina NICULAE - Ministerul Investițiilor si Proiectelor Europene, Răsvan ZAMFIR </w:t>
      </w:r>
      <w:r w:rsidRPr="00F96B13">
        <w:rPr>
          <w:rFonts w:eastAsia="Calibri"/>
          <w:sz w:val="22"/>
          <w:szCs w:val="22"/>
          <w:lang w:eastAsia="en-US"/>
        </w:rPr>
        <w:lastRenderedPageBreak/>
        <w:t>– Secretariat Comun (SC)/BRCT Călărași, Silvia COSTIUC – Ministerul Culturii, Marius NISTORESCU, Valentina COMAN – EPC Consultanță de mediu, Marcela GLODEANU, Daniela NAPRADI, Bogdan TUDORICĂ – Autoritatea de Management, Vlad IRIMIE – CIVITTA.</w:t>
      </w:r>
    </w:p>
    <w:p w:rsidR="005B2059" w:rsidRPr="00F96B13" w:rsidRDefault="005B2059" w:rsidP="005B2059">
      <w:pPr>
        <w:spacing w:line="276" w:lineRule="auto"/>
        <w:rPr>
          <w:rFonts w:eastAsia="Calibri"/>
          <w:sz w:val="22"/>
          <w:szCs w:val="22"/>
          <w:lang w:eastAsia="en-US"/>
        </w:rPr>
      </w:pPr>
      <w:r w:rsidRPr="00F96B13">
        <w:rPr>
          <w:rFonts w:eastAsia="Calibri"/>
          <w:b/>
          <w:sz w:val="22"/>
          <w:szCs w:val="22"/>
          <w:lang w:eastAsia="en-US"/>
        </w:rPr>
        <w:t>Principalul subiect abordat în cadrul ședinței grupului de lucru a vizat</w:t>
      </w:r>
      <w:r w:rsidRPr="00F96B13">
        <w:rPr>
          <w:rFonts w:eastAsia="Calibri"/>
          <w:sz w:val="22"/>
          <w:szCs w:val="22"/>
          <w:lang w:eastAsia="en-US"/>
        </w:rPr>
        <w:t xml:space="preserve">: </w:t>
      </w:r>
    </w:p>
    <w:p w:rsidR="005B2059" w:rsidRPr="00F96B13" w:rsidRDefault="005B2059" w:rsidP="005B2059">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modului de integrare a observațiilor membrilor Grupului de Lucru în varianta draft a Raportului de Mediu. </w:t>
      </w:r>
    </w:p>
    <w:p w:rsidR="005B2059" w:rsidRPr="00F96B13" w:rsidRDefault="005B2059" w:rsidP="005B2059">
      <w:pPr>
        <w:spacing w:line="276" w:lineRule="auto"/>
        <w:ind w:left="770"/>
        <w:contextualSpacing/>
        <w:rPr>
          <w:rFonts w:eastAsia="Calibri"/>
          <w:sz w:val="22"/>
          <w:szCs w:val="22"/>
          <w:lang w:eastAsia="en-US"/>
        </w:rPr>
      </w:pPr>
    </w:p>
    <w:p w:rsidR="005B2059" w:rsidRPr="00F96B13" w:rsidRDefault="005B2059" w:rsidP="005B2059">
      <w:pPr>
        <w:spacing w:line="276" w:lineRule="auto"/>
        <w:contextualSpacing/>
        <w:rPr>
          <w:rFonts w:eastAsia="Calibri"/>
          <w:sz w:val="22"/>
          <w:szCs w:val="22"/>
          <w:lang w:eastAsia="en-US"/>
        </w:rPr>
      </w:pPr>
      <w:r w:rsidRPr="00F96B13">
        <w:rPr>
          <w:rFonts w:eastAsia="Calibri"/>
          <w:sz w:val="22"/>
          <w:szCs w:val="22"/>
          <w:lang w:eastAsia="en-US"/>
        </w:rPr>
        <w:t xml:space="preserve">Principalele aspecte cheie enunțate în cadrul întâlnirii Grupului de lucru de către participanți sunt prezentate tabelar în continuare: </w:t>
      </w:r>
    </w:p>
    <w:p w:rsidR="005B2059" w:rsidRPr="00F96B13" w:rsidRDefault="005B2059" w:rsidP="005B2059">
      <w:pPr>
        <w:spacing w:line="276" w:lineRule="auto"/>
        <w:contextualSpacing/>
        <w:rPr>
          <w:rFonts w:eastAsia="Calibri"/>
          <w:sz w:val="22"/>
          <w:szCs w:val="22"/>
          <w:lang w:eastAsia="en-US"/>
        </w:rPr>
      </w:pPr>
    </w:p>
    <w:tbl>
      <w:tblPr>
        <w:tblStyle w:val="TableGrid3"/>
        <w:tblW w:w="9540" w:type="dxa"/>
        <w:tblInd w:w="85" w:type="dxa"/>
        <w:tblLook w:val="04A0" w:firstRow="1" w:lastRow="0" w:firstColumn="1" w:lastColumn="0" w:noHBand="0" w:noVBand="1"/>
      </w:tblPr>
      <w:tblGrid>
        <w:gridCol w:w="2340"/>
        <w:gridCol w:w="7200"/>
      </w:tblGrid>
      <w:tr w:rsidR="005B2059" w:rsidRPr="00F96B13" w:rsidTr="00F525A7">
        <w:trPr>
          <w:trHeight w:val="513"/>
          <w:tblHeader/>
        </w:trPr>
        <w:tc>
          <w:tcPr>
            <w:tcW w:w="2340"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Participant</w:t>
            </w:r>
          </w:p>
        </w:tc>
        <w:tc>
          <w:tcPr>
            <w:tcW w:w="7200" w:type="dxa"/>
            <w:vAlign w:val="center"/>
          </w:tcPr>
          <w:p w:rsidR="005B2059" w:rsidRPr="00F96B13" w:rsidRDefault="005B2059" w:rsidP="00F525A7">
            <w:pPr>
              <w:spacing w:before="0" w:after="0" w:line="240" w:lineRule="auto"/>
              <w:contextualSpacing/>
              <w:jc w:val="center"/>
              <w:rPr>
                <w:rFonts w:eastAsia="Calibri"/>
                <w:b/>
                <w:lang w:eastAsia="en-US"/>
              </w:rPr>
            </w:pPr>
            <w:r w:rsidRPr="00F96B13">
              <w:rPr>
                <w:rFonts w:eastAsia="Calibri"/>
                <w:b/>
                <w:lang w:eastAsia="en-US"/>
              </w:rPr>
              <w:t>Aspecte cheie</w:t>
            </w:r>
          </w:p>
        </w:tc>
      </w:tr>
      <w:tr w:rsidR="005B2059" w:rsidRPr="00F96B13" w:rsidTr="00F525A7">
        <w:trPr>
          <w:trHeight w:val="746"/>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Marcela Glodeanu deschide ședința şi îi dă cuvântul Dnei. Mihaela Măcelaru. </w:t>
            </w:r>
          </w:p>
        </w:tc>
      </w:tr>
      <w:tr w:rsidR="005B2059" w:rsidRPr="00F96B13" w:rsidTr="00F525A7">
        <w:trPr>
          <w:trHeight w:val="513"/>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Prezintă etapa procedurii SEA în care ne aflăm și menționează că în cadrul Raportului de Mediu au fost integrate toate observațiile transmise, iar în acest moment Raportul de mediu este cuprinzător și detaliat.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Dl. Marius Nistorescu menționează că pentru prezentarea variantei draft a Raportului de Mediu nu a mai fost realizată o prezentare PowerPoint, ci va prezenta forma actualizată a raportului în care au fost integrate observațiile primite de la membrii grupului de lucru. </w:t>
            </w:r>
          </w:p>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Dl. Marius Nistorescu prezintă varianta draft a Raportului de Mediu, prin punctarea următoarelor aspecte:</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Au fost realizate mici modificări de aspect și de formulare, pe care nu le va prezenta, ci doar modificările substanțiale;</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La subcapitolul 3.1.3.6 Indicatori de sănătate publică, denumirea capitolului a fost reformulată și au fost definiți termenii de „boală”, „prevalență” și „incidență”. Modificarea și completarea s-a realizat la sugestia Institutului Național de Sănătatea Publică;</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Ca urmare a solicitării primite din partea Ministerului Mediului de introducere a unui nou aspect de mediu „Conștientizarea populației”, informațiile despre educație din capitolul</w:t>
            </w:r>
            <w:r w:rsidRPr="00F96B13">
              <w:rPr>
                <w:rFonts w:eastAsia="Calibri"/>
                <w:i/>
                <w:iCs/>
                <w:lang w:eastAsia="en-US"/>
              </w:rPr>
              <w:t xml:space="preserve"> 3.1.3 Populația și sănătatea umană</w:t>
            </w:r>
            <w:r w:rsidRPr="00F96B13">
              <w:rPr>
                <w:rFonts w:eastAsia="Calibri"/>
                <w:lang w:eastAsia="en-US"/>
              </w:rPr>
              <w:t>, au fost mutate la noul aspect de mediu;</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 xml:space="preserve">La capitolul </w:t>
            </w:r>
            <w:r w:rsidRPr="00F96B13">
              <w:rPr>
                <w:rFonts w:eastAsia="Calibri"/>
                <w:i/>
                <w:iCs/>
                <w:lang w:eastAsia="en-US"/>
              </w:rPr>
              <w:t>3.1.5 Apă</w:t>
            </w:r>
            <w:r w:rsidRPr="00F96B13">
              <w:rPr>
                <w:rFonts w:eastAsia="Calibri"/>
                <w:lang w:eastAsia="en-US"/>
              </w:rPr>
              <w:t>, la solicitarea Ministerului Mediului au fost modificate legendele unor hărți și descrise zonele de protecție sanitară din zona programului;</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Aspectul de mediu Valori materiale a fost împărțit în două aspecte de mediu diferite: Valori materiale și Managementul riscurilor. Pentru noul aspect de mediu s-au descris riscurile naturale din zona programului (inundații, alunecări de teren și cutremure);</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lastRenderedPageBreak/>
              <w:t xml:space="preserve">La capitolul </w:t>
            </w:r>
            <w:r w:rsidRPr="00F96B13">
              <w:rPr>
                <w:rFonts w:eastAsia="Calibri"/>
                <w:i/>
                <w:iCs/>
                <w:lang w:eastAsia="en-US"/>
              </w:rPr>
              <w:t>3.1.10 Patrimoniul cultural</w:t>
            </w:r>
            <w:r w:rsidRPr="00F96B13">
              <w:rPr>
                <w:rFonts w:eastAsia="Calibri"/>
                <w:lang w:eastAsia="en-US"/>
              </w:rPr>
              <w:t>, au fost integrate toate recomandările primite din partea Ministerului Culturii;</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 xml:space="preserve">Capitolul </w:t>
            </w:r>
            <w:r w:rsidRPr="00F96B13">
              <w:rPr>
                <w:rFonts w:eastAsia="Calibri"/>
                <w:i/>
                <w:iCs/>
                <w:lang w:eastAsia="en-US"/>
              </w:rPr>
              <w:t>3.2 Evoluția stării mediului în situația neimplementării programului</w:t>
            </w:r>
            <w:r w:rsidRPr="00F96B13">
              <w:rPr>
                <w:rFonts w:eastAsia="Calibri"/>
                <w:lang w:eastAsia="en-US"/>
              </w:rPr>
              <w:t>, s-a actualizat ca urmare a introducerii celor doua aspecte de mediu, iar pentru restul aspectelor de mediu formularea a fost îmbunătățită;</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În capitolul 6 Obiective relevante de mediu au fost introduse 3 ORM aferente aspectelor de mediu Managementul riscurilor, Transport sustenabil și Conștientizarea populației. Au fost reformulate/îmbunătățite ORM2, ORM 3 (Populația și sănătatea umană), ORM 5 (Apă) și ORM15 Economie circulară/Conservarea resurselor naturale;</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 xml:space="preserve">Ca urmare </w:t>
            </w:r>
            <w:proofErr w:type="gramStart"/>
            <w:r w:rsidRPr="00F96B13">
              <w:rPr>
                <w:rFonts w:eastAsia="Calibri"/>
                <w:lang w:eastAsia="en-US"/>
              </w:rPr>
              <w:t>a</w:t>
            </w:r>
            <w:proofErr w:type="gramEnd"/>
            <w:r w:rsidRPr="00F96B13">
              <w:rPr>
                <w:rFonts w:eastAsia="Calibri"/>
                <w:lang w:eastAsia="en-US"/>
              </w:rPr>
              <w:t xml:space="preserve"> introducerii celor 2 obiective relevante de mediu a fost refăcută compatibilitatea între obiectivele programului și obiectivele relevante de mediu (capitolul 7.2.2). În urma acesteia a rezultat o compatibilitate mai ridicată între cele două seturi de obiective, în comparație cu versiunea inițială;</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S-au actualizat tipurile de acțiuni conform versiunii programului aprobat, precum și evaluarea tipurilor de acțiuni, ca urmare a modificărilor apărute la obiectivele relevante de mediu;</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 xml:space="preserve">În cadrul capitolului 8 Efecte potențiale semnificative pentru mediu și sănătate în context transfrontier, a fost introdus </w:t>
            </w:r>
            <w:proofErr w:type="gramStart"/>
            <w:r w:rsidRPr="00F96B13">
              <w:rPr>
                <w:rFonts w:eastAsia="Calibri"/>
                <w:lang w:eastAsia="en-US"/>
              </w:rPr>
              <w:t>un</w:t>
            </w:r>
            <w:proofErr w:type="gramEnd"/>
            <w:r w:rsidRPr="00F96B13">
              <w:rPr>
                <w:rFonts w:eastAsia="Calibri"/>
                <w:lang w:eastAsia="en-US"/>
              </w:rPr>
              <w:t xml:space="preserve"> nou subcapitol </w:t>
            </w:r>
            <w:r w:rsidRPr="00F96B13">
              <w:rPr>
                <w:rFonts w:eastAsia="Calibri"/>
                <w:i/>
                <w:iCs/>
                <w:lang w:eastAsia="en-US"/>
              </w:rPr>
              <w:t>Efecte cumulative</w:t>
            </w:r>
            <w:r w:rsidRPr="00F96B13">
              <w:rPr>
                <w:rFonts w:eastAsia="Calibri"/>
                <w:lang w:eastAsia="en-US"/>
              </w:rPr>
              <w:t>. Nu au fost identificate efecte negative semnificative nici în cazul cumulării cu alte planuri și programe;</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 xml:space="preserve">A fost introdus un nou capitol </w:t>
            </w:r>
            <w:r w:rsidRPr="00F96B13">
              <w:rPr>
                <w:rFonts w:eastAsia="Calibri"/>
                <w:i/>
                <w:iCs/>
                <w:lang w:eastAsia="en-US"/>
              </w:rPr>
              <w:t>12 Dificultăți întâmpinate în analizele din cadrul SEA</w:t>
            </w:r>
            <w:r w:rsidRPr="00F96B13">
              <w:rPr>
                <w:rFonts w:eastAsia="Calibri"/>
                <w:lang w:eastAsia="en-US"/>
              </w:rPr>
              <w:t xml:space="preserve"> la solicitarea Ministerului Mediului;</w:t>
            </w:r>
          </w:p>
          <w:p w:rsidR="005B2059" w:rsidRPr="00F96B13" w:rsidRDefault="005B2059" w:rsidP="00F525A7">
            <w:pPr>
              <w:numPr>
                <w:ilvl w:val="0"/>
                <w:numId w:val="24"/>
              </w:numPr>
              <w:spacing w:before="0" w:after="0" w:line="240" w:lineRule="auto"/>
              <w:contextualSpacing/>
              <w:rPr>
                <w:rFonts w:eastAsia="Calibri"/>
                <w:lang w:eastAsia="en-US"/>
              </w:rPr>
            </w:pPr>
            <w:r w:rsidRPr="00F96B13">
              <w:rPr>
                <w:rFonts w:eastAsia="Calibri"/>
                <w:lang w:eastAsia="en-US"/>
              </w:rPr>
              <w:t>În cadrul subcapitolului 7</w:t>
            </w:r>
            <w:r w:rsidRPr="00F96B13">
              <w:rPr>
                <w:rFonts w:eastAsia="Calibri"/>
                <w:i/>
                <w:iCs/>
                <w:lang w:eastAsia="en-US"/>
              </w:rPr>
              <w:t>.2.4 Evaluarea tipurilor de acțiuni</w:t>
            </w:r>
            <w:r w:rsidRPr="00F96B13">
              <w:rPr>
                <w:rFonts w:eastAsia="Calibri"/>
                <w:lang w:eastAsia="en-US"/>
              </w:rPr>
              <w:t xml:space="preserve">, au fost integrate și concluziile analizei DNSH.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Dna. Corina-Cosmina BOSCORNEA</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Propune pentru capitolul </w:t>
            </w:r>
            <w:r w:rsidRPr="00F96B13">
              <w:rPr>
                <w:rFonts w:eastAsia="Calibri"/>
                <w:i/>
                <w:iCs/>
                <w:lang w:eastAsia="en-US"/>
              </w:rPr>
              <w:t>12 Dificultăți întâmpinate în analizele din cadrul SEA</w:t>
            </w:r>
            <w:r w:rsidRPr="00F96B13">
              <w:rPr>
                <w:rFonts w:eastAsia="Calibri"/>
                <w:lang w:eastAsia="en-US"/>
              </w:rPr>
              <w:t xml:space="preserve">, utilizarea termenului de „cuantificarea țintelor” și nu „atingerea țintelor”.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Dna. Mihaela MĂCELARU menționează că analiza DNSH nu face obiectul HG 1076/2004 și a Directivei SEA. Sunt publicate de Comisia Europeană modele de completare </w:t>
            </w:r>
            <w:proofErr w:type="gramStart"/>
            <w:r w:rsidRPr="00F96B13">
              <w:rPr>
                <w:rFonts w:eastAsia="Calibri"/>
                <w:lang w:eastAsia="en-US"/>
              </w:rPr>
              <w:t>a</w:t>
            </w:r>
            <w:proofErr w:type="gramEnd"/>
            <w:r w:rsidRPr="00F96B13">
              <w:rPr>
                <w:rFonts w:eastAsia="Calibri"/>
                <w:lang w:eastAsia="en-US"/>
              </w:rPr>
              <w:t xml:space="preserve"> analizei DNSH.</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Analiza realizată asupra Raportului de mediu a fost foarte aprofundată. Au fost realizate mici modificări la program ca urmare a întâlnirii </w:t>
            </w:r>
            <w:proofErr w:type="gramStart"/>
            <w:r w:rsidRPr="00F96B13">
              <w:rPr>
                <w:rFonts w:eastAsia="Calibri"/>
                <w:lang w:eastAsia="en-US"/>
              </w:rPr>
              <w:t>JWG .</w:t>
            </w:r>
            <w:proofErr w:type="gramEnd"/>
            <w:r w:rsidRPr="00F96B13">
              <w:rPr>
                <w:rFonts w:eastAsia="Calibri"/>
                <w:lang w:eastAsia="en-US"/>
              </w:rPr>
              <w:t xml:space="preserve"> Programul este aprobat și până la data de 2 Aprilie trebuie trimis la Comisie. Prezintă câteva informații cu privire la procedura SEA din Bulgaria. </w:t>
            </w:r>
          </w:p>
        </w:tc>
      </w:tr>
      <w:tr w:rsidR="005B2059" w:rsidRPr="00F96B13" w:rsidTr="00F525A7">
        <w:trPr>
          <w:trHeight w:val="70"/>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Dna. Mihaela MĂCELARU</w:t>
            </w:r>
          </w:p>
        </w:tc>
        <w:tc>
          <w:tcPr>
            <w:tcW w:w="720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t xml:space="preserve">Raportul de mediu va fi postat pe site-ul Ministerului Mediului o perioadă de 30 de zile. Din partea autorității de mediu nu mai sunt alte solicitări cu privire la conținutul Raportului de mediu. Dacă se vor primi comentarii concludente din partea publicului în perioada de consultare </w:t>
            </w:r>
            <w:r w:rsidRPr="00F96B13">
              <w:rPr>
                <w:rFonts w:eastAsia="Calibri"/>
                <w:lang w:eastAsia="en-US"/>
              </w:rPr>
              <w:lastRenderedPageBreak/>
              <w:t xml:space="preserve">publică, se vor integra în cadrul Raportului de Mediu. </w:t>
            </w:r>
          </w:p>
        </w:tc>
      </w:tr>
      <w:tr w:rsidR="005B2059" w:rsidRPr="00F96B13" w:rsidTr="00F525A7">
        <w:trPr>
          <w:trHeight w:val="77"/>
        </w:trPr>
        <w:tc>
          <w:tcPr>
            <w:tcW w:w="2340" w:type="dxa"/>
            <w:vAlign w:val="center"/>
          </w:tcPr>
          <w:p w:rsidR="005B2059" w:rsidRPr="00F96B13" w:rsidRDefault="005B2059" w:rsidP="00F525A7">
            <w:pPr>
              <w:spacing w:before="0" w:after="0" w:line="240" w:lineRule="auto"/>
              <w:contextualSpacing/>
              <w:rPr>
                <w:rFonts w:eastAsia="Calibri"/>
                <w:lang w:eastAsia="en-US"/>
              </w:rPr>
            </w:pPr>
            <w:r w:rsidRPr="00F96B13">
              <w:rPr>
                <w:rFonts w:eastAsia="Calibri"/>
                <w:lang w:eastAsia="en-US"/>
              </w:rPr>
              <w:lastRenderedPageBreak/>
              <w:t>Dna. Marcela GLODEANU</w:t>
            </w:r>
          </w:p>
        </w:tc>
        <w:tc>
          <w:tcPr>
            <w:tcW w:w="7200" w:type="dxa"/>
            <w:vAlign w:val="center"/>
          </w:tcPr>
          <w:p w:rsidR="005B2059" w:rsidRPr="00F96B13" w:rsidRDefault="005B2059" w:rsidP="00F525A7">
            <w:pPr>
              <w:spacing w:before="0" w:after="0" w:line="240" w:lineRule="auto"/>
              <w:rPr>
                <w:rFonts w:eastAsia="Calibri"/>
                <w:lang w:eastAsia="en-US"/>
              </w:rPr>
            </w:pPr>
            <w:r w:rsidRPr="00F96B13">
              <w:rPr>
                <w:rFonts w:eastAsia="Calibri"/>
                <w:lang w:eastAsia="en-US"/>
              </w:rPr>
              <w:t>Vom informa membrii grupului de lucru de unde se poate descărca varianta finală a Raportului de Mediu și cea a Programului.</w:t>
            </w:r>
          </w:p>
        </w:tc>
      </w:tr>
    </w:tbl>
    <w:p w:rsidR="005B2059" w:rsidRPr="00F96B13" w:rsidRDefault="005B2059" w:rsidP="005B2059">
      <w:pPr>
        <w:spacing w:line="276" w:lineRule="auto"/>
        <w:rPr>
          <w:rFonts w:eastAsia="Calibri"/>
          <w:sz w:val="22"/>
          <w:szCs w:val="22"/>
          <w:lang w:eastAsia="en-US"/>
        </w:rPr>
      </w:pPr>
      <w:r w:rsidRPr="00F96B13">
        <w:rPr>
          <w:rFonts w:eastAsia="Calibri"/>
          <w:sz w:val="22"/>
          <w:szCs w:val="22"/>
          <w:lang w:eastAsia="en-US"/>
        </w:rPr>
        <w:t>Informații actualizate, după întâlnirea Grupului de Lucru:</w:t>
      </w:r>
    </w:p>
    <w:p w:rsidR="005B2059" w:rsidRPr="00F96B13" w:rsidRDefault="005B2059" w:rsidP="005B2059">
      <w:pPr>
        <w:numPr>
          <w:ilvl w:val="0"/>
          <w:numId w:val="25"/>
        </w:numPr>
        <w:spacing w:line="276" w:lineRule="auto"/>
        <w:contextualSpacing/>
        <w:rPr>
          <w:rFonts w:eastAsia="Calibri"/>
          <w:sz w:val="22"/>
          <w:szCs w:val="22"/>
          <w:lang w:eastAsia="en-US"/>
        </w:rPr>
      </w:pPr>
      <w:r w:rsidRPr="00F96B13">
        <w:rPr>
          <w:rFonts w:eastAsia="Calibri"/>
          <w:sz w:val="22"/>
          <w:szCs w:val="22"/>
          <w:lang w:eastAsia="en-US"/>
        </w:rPr>
        <w:t>În data de 17 Februarie a fost lansată consultarea publică în România. Anunțul și documentele supuse consultării au fost postate pe site-ul Ministerul Mediului, Apelor și Pădurilor (</w:t>
      </w:r>
      <w:hyperlink r:id="rId24" w:history="1">
        <w:r w:rsidRPr="00F96B13">
          <w:rPr>
            <w:rFonts w:eastAsia="Calibri"/>
            <w:color w:val="0563C1"/>
            <w:sz w:val="22"/>
            <w:szCs w:val="22"/>
            <w:u w:val="single"/>
            <w:lang w:eastAsia="en-US"/>
          </w:rPr>
          <w:t>http://www.mmediu.ro/categorie/programul-interreg-vi-a-romania-bulgaria/361</w:t>
        </w:r>
      </w:hyperlink>
      <w:r w:rsidRPr="00F96B13">
        <w:rPr>
          <w:rFonts w:eastAsia="Calibri"/>
          <w:sz w:val="22"/>
          <w:szCs w:val="22"/>
          <w:lang w:eastAsia="en-US"/>
        </w:rPr>
        <w:t>), Ministerului Dezvoltării, Lucrărilor Publice și Administrației (</w:t>
      </w:r>
      <w:hyperlink r:id="rId25" w:history="1">
        <w:r w:rsidRPr="00F96B13">
          <w:rPr>
            <w:rFonts w:eastAsia="Calibri"/>
            <w:color w:val="0563C1"/>
            <w:sz w:val="22"/>
            <w:szCs w:val="22"/>
            <w:u w:val="single"/>
            <w:lang w:eastAsia="en-US"/>
          </w:rPr>
          <w:t>https://www.mdlpa.ro/subarticles/7/anunt17022022</w:t>
        </w:r>
      </w:hyperlink>
      <w:r w:rsidRPr="00F96B13">
        <w:rPr>
          <w:rFonts w:eastAsia="Calibri"/>
          <w:sz w:val="22"/>
          <w:szCs w:val="22"/>
          <w:lang w:eastAsia="en-US"/>
        </w:rPr>
        <w:t>) și al Programului Interreg VI-A România-Bulgaria (</w:t>
      </w:r>
      <w:hyperlink r:id="rId26" w:history="1">
        <w:r w:rsidRPr="00F96B13">
          <w:rPr>
            <w:rFonts w:eastAsia="Calibri"/>
            <w:color w:val="0563C1"/>
            <w:sz w:val="22"/>
            <w:szCs w:val="22"/>
            <w:u w:val="single"/>
            <w:lang w:eastAsia="en-US"/>
          </w:rPr>
          <w:t>https://interregviarobg.eu/ro/consultare-publica-privind-raportul-de-mediu-si-a-programului-interreg-vi-a-romania-bulgaria-in-romania</w:t>
        </w:r>
      </w:hyperlink>
      <w:r w:rsidRPr="00F96B13">
        <w:rPr>
          <w:rFonts w:eastAsia="Calibri"/>
          <w:sz w:val="22"/>
          <w:szCs w:val="22"/>
          <w:lang w:eastAsia="en-US"/>
        </w:rPr>
        <w:t xml:space="preserve">). Consultarea publică se va încheia după 30 de zile calendaristice de la data publicării anunțului. </w:t>
      </w:r>
    </w:p>
    <w:p w:rsidR="005B2059" w:rsidRDefault="005B2059" w:rsidP="005B2059">
      <w:pPr>
        <w:numPr>
          <w:ilvl w:val="0"/>
          <w:numId w:val="25"/>
        </w:numPr>
        <w:spacing w:line="276" w:lineRule="auto"/>
        <w:contextualSpacing/>
        <w:rPr>
          <w:rFonts w:eastAsia="Calibri"/>
          <w:sz w:val="22"/>
          <w:szCs w:val="22"/>
          <w:lang w:eastAsia="en-US"/>
        </w:rPr>
      </w:pPr>
      <w:r w:rsidRPr="00F96B13">
        <w:rPr>
          <w:rFonts w:eastAsia="Calibri"/>
          <w:sz w:val="22"/>
          <w:szCs w:val="22"/>
          <w:lang w:eastAsia="en-US"/>
        </w:rPr>
        <w:t>În data de 21 Februarie a fost lansată consultarea publică în Bulgaria, conform prevederilor legislației naționale. Anunțul și documentele supuse consultării au fost postate pe site-ul Ministerului Dezvoltării Regionale și Lucrărilor Publice (</w:t>
      </w:r>
      <w:hyperlink r:id="rId27" w:history="1">
        <w:r w:rsidRPr="00F96B13">
          <w:rPr>
            <w:rFonts w:eastAsia="Calibri"/>
            <w:color w:val="0563C1"/>
            <w:sz w:val="22"/>
            <w:szCs w:val="22"/>
            <w:u w:val="single"/>
            <w:lang w:eastAsia="en-US"/>
          </w:rPr>
          <w:t>https://www.mrrb.bg/bg/startirane-na-obstestveni-konsultacii-po-doklad-za-ekologichna-ocenka-eo-po-programata-za-transnacionalno-sutrudnichestvo-interreg-vi-a-rumuniya-bulgariya-2021-2027-g/</w:t>
        </w:r>
      </w:hyperlink>
      <w:r w:rsidRPr="00F96B13">
        <w:rPr>
          <w:rFonts w:eastAsia="Calibri"/>
          <w:sz w:val="22"/>
          <w:szCs w:val="22"/>
          <w:lang w:eastAsia="en-US"/>
        </w:rPr>
        <w:t>) și al Programului (</w:t>
      </w:r>
      <w:hyperlink r:id="rId28" w:history="1">
        <w:r w:rsidRPr="00F96B13">
          <w:rPr>
            <w:rFonts w:eastAsia="Calibri"/>
            <w:color w:val="0563C1"/>
            <w:sz w:val="22"/>
            <w:szCs w:val="22"/>
            <w:u w:val="single"/>
            <w:lang w:eastAsia="en-US"/>
          </w:rPr>
          <w:t>https://interregviarobg.eu/bg/startirane-na-obshchestveni-konsultatsii-po-doklad-za-ekologichna-otsenka-eo-po-programata-za-transnatsionalno-strudnichestvo-interreg-vi-a-rumniya-blgariya-2021-2027-g</w:t>
        </w:r>
      </w:hyperlink>
      <w:r w:rsidRPr="00F96B13">
        <w:rPr>
          <w:rFonts w:eastAsia="Calibri"/>
          <w:sz w:val="22"/>
          <w:szCs w:val="22"/>
          <w:lang w:eastAsia="en-US"/>
        </w:rPr>
        <w:t xml:space="preserve">). Consultarea publică se va încheia după 30 de zile calendaristice de la data publicării anunțului. </w:t>
      </w:r>
    </w:p>
    <w:p w:rsidR="004061DF" w:rsidRPr="00D23996" w:rsidRDefault="004061DF" w:rsidP="004061DF">
      <w:pPr>
        <w:spacing w:line="276" w:lineRule="auto"/>
        <w:ind w:left="720"/>
        <w:contextualSpacing/>
        <w:rPr>
          <w:rFonts w:eastAsia="Calibri"/>
          <w:sz w:val="22"/>
          <w:szCs w:val="22"/>
          <w:lang w:val="bg-BG" w:eastAsia="en-US"/>
        </w:rPr>
      </w:pPr>
    </w:p>
    <w:p w:rsidR="00F96B13" w:rsidRPr="00D23996" w:rsidRDefault="00F96B13" w:rsidP="00611864">
      <w:pPr>
        <w:spacing w:line="276" w:lineRule="auto"/>
        <w:rPr>
          <w:rFonts w:eastAsia="Calibri"/>
          <w:sz w:val="22"/>
          <w:szCs w:val="22"/>
          <w:lang w:val="bg-BG" w:eastAsia="en-US"/>
        </w:rPr>
      </w:pPr>
      <w:r w:rsidRPr="00D23996">
        <w:rPr>
          <w:rFonts w:eastAsia="Calibri"/>
          <w:noProof/>
          <w:sz w:val="22"/>
          <w:szCs w:val="22"/>
          <w:lang w:val="en-US" w:eastAsia="en-US"/>
        </w:rPr>
        <w:drawing>
          <wp:inline distT="0" distB="0" distL="0" distR="0" wp14:anchorId="25A9C6EA" wp14:editId="7D40BC4C">
            <wp:extent cx="5760720" cy="2444370"/>
            <wp:effectExtent l="0" t="0" r="0" b="0"/>
            <wp:docPr id="12" name="Picture 12" descr="\\Drmie_dgcte\dcti\post 2020\PROGRAME\Ro-Bg 2021-2027\PROGRAMARE\Program Operational\SEA\Declansare procedura SEA\Constituire grup de lucru\3. Intalnire\Minu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mie_dgcte\dcti\post 2020\PROGRAME\Ro-Bg 2021-2027\PROGRAMARE\Program Operational\SEA\Declansare procedura SEA\Constituire grup de lucru\3. Intalnire\Minuta\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720" cy="2444370"/>
                    </a:xfrm>
                    <a:prstGeom prst="rect">
                      <a:avLst/>
                    </a:prstGeom>
                    <a:noFill/>
                    <a:ln>
                      <a:noFill/>
                    </a:ln>
                  </pic:spPr>
                </pic:pic>
              </a:graphicData>
            </a:graphic>
          </wp:inline>
        </w:drawing>
      </w:r>
    </w:p>
    <w:sectPr w:rsidR="00F96B13" w:rsidRPr="00D2399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1A92" w:rsidRDefault="00051A92" w:rsidP="007B7172">
      <w:pPr>
        <w:spacing w:before="0" w:after="0" w:line="240" w:lineRule="auto"/>
      </w:pPr>
      <w:r>
        <w:separator/>
      </w:r>
    </w:p>
  </w:endnote>
  <w:endnote w:type="continuationSeparator" w:id="0">
    <w:p w:rsidR="00051A92" w:rsidRDefault="00051A92" w:rsidP="007B717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1A92" w:rsidRDefault="00051A92" w:rsidP="007B7172">
      <w:pPr>
        <w:spacing w:before="0" w:after="0" w:line="240" w:lineRule="auto"/>
      </w:pPr>
      <w:r>
        <w:separator/>
      </w:r>
    </w:p>
  </w:footnote>
  <w:footnote w:type="continuationSeparator" w:id="0">
    <w:p w:rsidR="00051A92" w:rsidRDefault="00051A92" w:rsidP="007B7172">
      <w:pPr>
        <w:spacing w:before="0" w:after="0" w:line="240" w:lineRule="auto"/>
      </w:pPr>
      <w:r>
        <w:continuationSeparator/>
      </w:r>
    </w:p>
  </w:footnote>
  <w:footnote w:id="1">
    <w:p w:rsidR="00C81DE2" w:rsidRPr="00D23996" w:rsidRDefault="00C81DE2" w:rsidP="00B155AB">
      <w:pPr>
        <w:pStyle w:val="FootnoteText"/>
        <w:rPr>
          <w:rFonts w:ascii="Trebuchet MS" w:hAnsi="Trebuchet MS"/>
          <w:lang w:val="en-US"/>
        </w:rPr>
      </w:pPr>
      <w:r w:rsidRPr="00D23996">
        <w:rPr>
          <w:rStyle w:val="FootnoteReference"/>
          <w:rFonts w:ascii="Trebuchet MS" w:hAnsi="Trebuchet MS"/>
        </w:rPr>
        <w:footnoteRef/>
      </w:r>
      <w:r w:rsidRPr="00D23996">
        <w:rPr>
          <w:rFonts w:ascii="Trebuchet MS" w:hAnsi="Trebuchet MS"/>
          <w:lang w:val="en-US"/>
        </w:rPr>
        <w:t>Съгласно Директива 2001/42/ЕО за СЕО</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2067" w:type="dxa"/>
      <w:jc w:val="center"/>
      <w:tblLayout w:type="fixed"/>
      <w:tblLook w:val="04A0" w:firstRow="1" w:lastRow="0" w:firstColumn="1" w:lastColumn="0" w:noHBand="0" w:noVBand="1"/>
    </w:tblPr>
    <w:tblGrid>
      <w:gridCol w:w="4130"/>
      <w:gridCol w:w="4379"/>
      <w:gridCol w:w="3558"/>
    </w:tblGrid>
    <w:tr w:rsidR="00C81DE2" w:rsidTr="00EF39E8">
      <w:trPr>
        <w:trHeight w:val="186"/>
        <w:jc w:val="center"/>
      </w:trPr>
      <w:tc>
        <w:tcPr>
          <w:tcW w:w="4130" w:type="dxa"/>
        </w:tcPr>
        <w:p w:rsidR="00C81DE2" w:rsidRPr="008059AA" w:rsidRDefault="00C81DE2" w:rsidP="007378C2">
          <w:pPr>
            <w:spacing w:before="0" w:after="0" w:line="240" w:lineRule="auto"/>
            <w:ind w:right="-174"/>
            <w:jc w:val="right"/>
            <w:rPr>
              <w:sz w:val="20"/>
              <w:szCs w:val="20"/>
            </w:rPr>
          </w:pPr>
          <w:r>
            <w:rPr>
              <w:noProof/>
              <w:lang w:val="en-US" w:eastAsia="en-US"/>
            </w:rPr>
            <w:drawing>
              <wp:inline distT="0" distB="0" distL="0" distR="0" wp14:anchorId="62749A2C" wp14:editId="2E4B701D">
                <wp:extent cx="1820545" cy="555625"/>
                <wp:effectExtent l="0" t="0" r="8255" b="0"/>
                <wp:docPr id="6" name="Picture 5"/>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20545" cy="555625"/>
                        </a:xfrm>
                        <a:prstGeom prst="rect">
                          <a:avLst/>
                        </a:prstGeom>
                        <a:noFill/>
                      </pic:spPr>
                    </pic:pic>
                  </a:graphicData>
                </a:graphic>
              </wp:inline>
            </w:drawing>
          </w:r>
        </w:p>
      </w:tc>
      <w:tc>
        <w:tcPr>
          <w:tcW w:w="4379" w:type="dxa"/>
        </w:tcPr>
        <w:p w:rsidR="00C81DE2" w:rsidRPr="008059AA" w:rsidRDefault="00C81DE2" w:rsidP="007B7172">
          <w:pPr>
            <w:spacing w:before="0" w:after="0" w:line="240" w:lineRule="auto"/>
            <w:jc w:val="right"/>
            <w:rPr>
              <w:sz w:val="20"/>
              <w:szCs w:val="20"/>
            </w:rPr>
          </w:pPr>
        </w:p>
      </w:tc>
      <w:tc>
        <w:tcPr>
          <w:tcW w:w="3558" w:type="dxa"/>
        </w:tcPr>
        <w:p w:rsidR="00C81DE2" w:rsidRDefault="00C81DE2" w:rsidP="007B7172">
          <w:pPr>
            <w:spacing w:before="0" w:after="0" w:line="240" w:lineRule="auto"/>
            <w:jc w:val="right"/>
            <w:rPr>
              <w:sz w:val="20"/>
              <w:szCs w:val="20"/>
            </w:rPr>
          </w:pPr>
        </w:p>
      </w:tc>
    </w:tr>
  </w:tbl>
  <w:p w:rsidR="00C81DE2" w:rsidRDefault="00C81DE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F3294"/>
    <w:multiLevelType w:val="hybridMultilevel"/>
    <w:tmpl w:val="44B08ED2"/>
    <w:lvl w:ilvl="0" w:tplc="8B782160">
      <w:start w:val="1"/>
      <w:numFmt w:val="bullet"/>
      <w:lvlText w:val="-"/>
      <w:lvlJc w:val="left"/>
      <w:pPr>
        <w:ind w:left="720" w:hanging="360"/>
      </w:pPr>
      <w:rPr>
        <w:rFonts w:ascii="Calibri" w:eastAsia="Times New Roman" w:hAnsi="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nsid w:val="0EBA2980"/>
    <w:multiLevelType w:val="hybridMultilevel"/>
    <w:tmpl w:val="8A42744C"/>
    <w:lvl w:ilvl="0" w:tplc="4AC6E9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B340D7"/>
    <w:multiLevelType w:val="hybridMultilevel"/>
    <w:tmpl w:val="7BEEF84C"/>
    <w:lvl w:ilvl="0" w:tplc="6D6C4F4C">
      <w:start w:val="3"/>
      <w:numFmt w:val="bullet"/>
      <w:lvlText w:val="-"/>
      <w:lvlJc w:val="left"/>
      <w:pPr>
        <w:ind w:left="720" w:hanging="360"/>
      </w:pPr>
      <w:rPr>
        <w:rFonts w:ascii="Garamond" w:eastAsiaTheme="minorHAnsi" w:hAnsi="Garamond" w:cstheme="minorBidi" w:hint="default"/>
        <w:color w:val="auto"/>
        <w:sz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1777778A"/>
    <w:multiLevelType w:val="hybridMultilevel"/>
    <w:tmpl w:val="567658FC"/>
    <w:lvl w:ilvl="0" w:tplc="8B782160">
      <w:start w:val="1"/>
      <w:numFmt w:val="bullet"/>
      <w:lvlText w:val="-"/>
      <w:lvlJc w:val="left"/>
      <w:pPr>
        <w:ind w:left="1080" w:hanging="360"/>
      </w:pPr>
      <w:rPr>
        <w:rFonts w:ascii="Calibri" w:eastAsia="Times New Roman" w:hAnsi="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nsid w:val="1DFE4C7C"/>
    <w:multiLevelType w:val="hybridMultilevel"/>
    <w:tmpl w:val="ECDC342A"/>
    <w:lvl w:ilvl="0" w:tplc="7EEA70A6">
      <w:start w:val="7"/>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1101759"/>
    <w:multiLevelType w:val="hybridMultilevel"/>
    <w:tmpl w:val="BEC65A48"/>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nsid w:val="226417FD"/>
    <w:multiLevelType w:val="hybridMultilevel"/>
    <w:tmpl w:val="047A0BF8"/>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23484781"/>
    <w:multiLevelType w:val="hybridMultilevel"/>
    <w:tmpl w:val="A468A39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0114304"/>
    <w:multiLevelType w:val="hybridMultilevel"/>
    <w:tmpl w:val="7C869D7C"/>
    <w:lvl w:ilvl="0" w:tplc="8B782160">
      <w:start w:val="1"/>
      <w:numFmt w:val="bullet"/>
      <w:lvlText w:val="-"/>
      <w:lvlJc w:val="left"/>
      <w:pPr>
        <w:ind w:left="720" w:hanging="360"/>
      </w:pPr>
      <w:rPr>
        <w:rFonts w:ascii="Calibri" w:eastAsia="Times New Roman"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32453A5F"/>
    <w:multiLevelType w:val="hybridMultilevel"/>
    <w:tmpl w:val="34284662"/>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35596464"/>
    <w:multiLevelType w:val="hybridMultilevel"/>
    <w:tmpl w:val="2E34D034"/>
    <w:lvl w:ilvl="0" w:tplc="0418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nsid w:val="368E1EDB"/>
    <w:multiLevelType w:val="hybridMultilevel"/>
    <w:tmpl w:val="FDD46FB6"/>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47530B2B"/>
    <w:multiLevelType w:val="multilevel"/>
    <w:tmpl w:val="1B3E9EF6"/>
    <w:lvl w:ilvl="0">
      <w:start w:val="1"/>
      <w:numFmt w:val="decimal"/>
      <w:lvlText w:val="%1."/>
      <w:lvlJc w:val="left"/>
      <w:pPr>
        <w:ind w:left="36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7200" w:hanging="2160"/>
      </w:pPr>
      <w:rPr>
        <w:rFonts w:hint="default"/>
      </w:rPr>
    </w:lvl>
    <w:lvl w:ilvl="8">
      <w:start w:val="1"/>
      <w:numFmt w:val="decimal"/>
      <w:isLgl/>
      <w:lvlText w:val="%1.%2.%3.%4.%5.%6.%7.%8.%9"/>
      <w:lvlJc w:val="left"/>
      <w:pPr>
        <w:ind w:left="7920" w:hanging="2160"/>
      </w:pPr>
      <w:rPr>
        <w:rFonts w:hint="default"/>
      </w:rPr>
    </w:lvl>
  </w:abstractNum>
  <w:abstractNum w:abstractNumId="13">
    <w:nsid w:val="4A956FF0"/>
    <w:multiLevelType w:val="hybridMultilevel"/>
    <w:tmpl w:val="901E540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5EF81593"/>
    <w:multiLevelType w:val="hybridMultilevel"/>
    <w:tmpl w:val="97204532"/>
    <w:lvl w:ilvl="0" w:tplc="CFE64D4A">
      <w:start w:val="2"/>
      <w:numFmt w:val="bullet"/>
      <w:lvlText w:val="-"/>
      <w:lvlJc w:val="left"/>
      <w:pPr>
        <w:ind w:left="720" w:hanging="360"/>
      </w:pPr>
      <w:rPr>
        <w:rFonts w:ascii="Garamond" w:eastAsia="Calibri" w:hAnsi="Garamond"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60532733"/>
    <w:multiLevelType w:val="hybridMultilevel"/>
    <w:tmpl w:val="7A8A7EC2"/>
    <w:lvl w:ilvl="0" w:tplc="97424E76">
      <w:start w:val="1"/>
      <w:numFmt w:val="decimal"/>
      <w:lvlText w:val="%1."/>
      <w:lvlJc w:val="left"/>
      <w:pPr>
        <w:ind w:left="1068" w:hanging="708"/>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nsid w:val="625F3228"/>
    <w:multiLevelType w:val="hybridMultilevel"/>
    <w:tmpl w:val="EB468004"/>
    <w:lvl w:ilvl="0" w:tplc="8B782160">
      <w:start w:val="1"/>
      <w:numFmt w:val="bullet"/>
      <w:lvlText w:val="-"/>
      <w:lvlJc w:val="left"/>
      <w:pPr>
        <w:ind w:left="1080" w:hanging="360"/>
      </w:pPr>
      <w:rPr>
        <w:rFonts w:ascii="Calibri" w:eastAsia="Times New Roman" w:hAnsi="Calibri"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7">
    <w:nsid w:val="66AE00FA"/>
    <w:multiLevelType w:val="hybridMultilevel"/>
    <w:tmpl w:val="4E9A030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8">
    <w:nsid w:val="6E1D1018"/>
    <w:multiLevelType w:val="hybridMultilevel"/>
    <w:tmpl w:val="533E01A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6F8B702F"/>
    <w:multiLevelType w:val="hybridMultilevel"/>
    <w:tmpl w:val="2A9CE970"/>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75922643"/>
    <w:multiLevelType w:val="hybridMultilevel"/>
    <w:tmpl w:val="BAEEF3AC"/>
    <w:lvl w:ilvl="0" w:tplc="18E6B1E2">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780E7D83"/>
    <w:multiLevelType w:val="hybridMultilevel"/>
    <w:tmpl w:val="A56CA366"/>
    <w:lvl w:ilvl="0" w:tplc="FF9CC950">
      <w:start w:val="1"/>
      <w:numFmt w:val="decimal"/>
      <w:lvlText w:val="M%1"/>
      <w:lvlJc w:val="right"/>
      <w:pPr>
        <w:ind w:left="720" w:hanging="360"/>
      </w:pPr>
      <w:rPr>
        <w:rFonts w:hint="default"/>
        <w:sz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nsid w:val="7A2D741E"/>
    <w:multiLevelType w:val="hybridMultilevel"/>
    <w:tmpl w:val="C9EAD0C4"/>
    <w:lvl w:ilvl="0" w:tplc="8B782160">
      <w:start w:val="1"/>
      <w:numFmt w:val="bullet"/>
      <w:lvlText w:val="-"/>
      <w:lvlJc w:val="left"/>
      <w:pPr>
        <w:ind w:left="1068" w:hanging="360"/>
      </w:pPr>
      <w:rPr>
        <w:rFonts w:ascii="Calibri" w:eastAsia="Times New Roman" w:hAnsi="Calibri"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3">
    <w:nsid w:val="7A875A87"/>
    <w:multiLevelType w:val="hybridMultilevel"/>
    <w:tmpl w:val="5156B6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D074BE6"/>
    <w:multiLevelType w:val="hybridMultilevel"/>
    <w:tmpl w:val="689821EE"/>
    <w:lvl w:ilvl="0" w:tplc="8924A15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5"/>
  </w:num>
  <w:num w:numId="2">
    <w:abstractNumId w:val="7"/>
  </w:num>
  <w:num w:numId="3">
    <w:abstractNumId w:val="10"/>
  </w:num>
  <w:num w:numId="4">
    <w:abstractNumId w:val="3"/>
  </w:num>
  <w:num w:numId="5">
    <w:abstractNumId w:val="8"/>
  </w:num>
  <w:num w:numId="6">
    <w:abstractNumId w:val="0"/>
  </w:num>
  <w:num w:numId="7">
    <w:abstractNumId w:val="18"/>
  </w:num>
  <w:num w:numId="8">
    <w:abstractNumId w:val="22"/>
  </w:num>
  <w:num w:numId="9">
    <w:abstractNumId w:val="11"/>
  </w:num>
  <w:num w:numId="10">
    <w:abstractNumId w:val="5"/>
  </w:num>
  <w:num w:numId="11">
    <w:abstractNumId w:val="19"/>
  </w:num>
  <w:num w:numId="12">
    <w:abstractNumId w:val="21"/>
  </w:num>
  <w:num w:numId="13">
    <w:abstractNumId w:val="2"/>
  </w:num>
  <w:num w:numId="14">
    <w:abstractNumId w:val="13"/>
  </w:num>
  <w:num w:numId="15">
    <w:abstractNumId w:val="6"/>
  </w:num>
  <w:num w:numId="16">
    <w:abstractNumId w:val="9"/>
  </w:num>
  <w:num w:numId="17">
    <w:abstractNumId w:val="12"/>
  </w:num>
  <w:num w:numId="18">
    <w:abstractNumId w:val="24"/>
  </w:num>
  <w:num w:numId="19">
    <w:abstractNumId w:val="16"/>
  </w:num>
  <w:num w:numId="20">
    <w:abstractNumId w:val="20"/>
  </w:num>
  <w:num w:numId="21">
    <w:abstractNumId w:val="17"/>
  </w:num>
  <w:num w:numId="22">
    <w:abstractNumId w:val="1"/>
  </w:num>
  <w:num w:numId="23">
    <w:abstractNumId w:val="4"/>
  </w:num>
  <w:num w:numId="24">
    <w:abstractNumId w:val="14"/>
  </w:num>
  <w:num w:numId="2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D4F"/>
    <w:rsid w:val="00023151"/>
    <w:rsid w:val="00025B45"/>
    <w:rsid w:val="00041AA2"/>
    <w:rsid w:val="000458A3"/>
    <w:rsid w:val="00051A92"/>
    <w:rsid w:val="0006244C"/>
    <w:rsid w:val="0007007E"/>
    <w:rsid w:val="00081094"/>
    <w:rsid w:val="00091C81"/>
    <w:rsid w:val="00094267"/>
    <w:rsid w:val="000A16FA"/>
    <w:rsid w:val="000A45F6"/>
    <w:rsid w:val="000A4F5F"/>
    <w:rsid w:val="000A7005"/>
    <w:rsid w:val="000C50F2"/>
    <w:rsid w:val="000D0D4E"/>
    <w:rsid w:val="000D1D74"/>
    <w:rsid w:val="000D49F2"/>
    <w:rsid w:val="000D5474"/>
    <w:rsid w:val="000E54D3"/>
    <w:rsid w:val="000F1D87"/>
    <w:rsid w:val="000F36BE"/>
    <w:rsid w:val="000F71B7"/>
    <w:rsid w:val="001067A2"/>
    <w:rsid w:val="00115F0C"/>
    <w:rsid w:val="001163B2"/>
    <w:rsid w:val="0012235E"/>
    <w:rsid w:val="00134AAC"/>
    <w:rsid w:val="00157F15"/>
    <w:rsid w:val="001759E2"/>
    <w:rsid w:val="00190FA8"/>
    <w:rsid w:val="001A7EF8"/>
    <w:rsid w:val="001E3E89"/>
    <w:rsid w:val="00213548"/>
    <w:rsid w:val="00236CD7"/>
    <w:rsid w:val="00237353"/>
    <w:rsid w:val="00241EEF"/>
    <w:rsid w:val="00243CED"/>
    <w:rsid w:val="00243ED7"/>
    <w:rsid w:val="0026138D"/>
    <w:rsid w:val="002702A4"/>
    <w:rsid w:val="0028444E"/>
    <w:rsid w:val="00284878"/>
    <w:rsid w:val="00295831"/>
    <w:rsid w:val="00296F83"/>
    <w:rsid w:val="002B6E78"/>
    <w:rsid w:val="002C224E"/>
    <w:rsid w:val="002C6E7D"/>
    <w:rsid w:val="002F4F75"/>
    <w:rsid w:val="00301DD8"/>
    <w:rsid w:val="00317D24"/>
    <w:rsid w:val="00320978"/>
    <w:rsid w:val="00326134"/>
    <w:rsid w:val="00355229"/>
    <w:rsid w:val="00367CC9"/>
    <w:rsid w:val="003716AC"/>
    <w:rsid w:val="003738D6"/>
    <w:rsid w:val="003853EB"/>
    <w:rsid w:val="0039239E"/>
    <w:rsid w:val="003A4226"/>
    <w:rsid w:val="003C4289"/>
    <w:rsid w:val="003D32B6"/>
    <w:rsid w:val="00401C78"/>
    <w:rsid w:val="004061DF"/>
    <w:rsid w:val="004218B4"/>
    <w:rsid w:val="00440260"/>
    <w:rsid w:val="00474445"/>
    <w:rsid w:val="00475920"/>
    <w:rsid w:val="00477B42"/>
    <w:rsid w:val="004823AB"/>
    <w:rsid w:val="00490E00"/>
    <w:rsid w:val="004A1881"/>
    <w:rsid w:val="004A6F08"/>
    <w:rsid w:val="004B4BC2"/>
    <w:rsid w:val="004C1625"/>
    <w:rsid w:val="004C4DEA"/>
    <w:rsid w:val="004C6E28"/>
    <w:rsid w:val="004F5137"/>
    <w:rsid w:val="004F5FB6"/>
    <w:rsid w:val="004F6324"/>
    <w:rsid w:val="0050364D"/>
    <w:rsid w:val="00514841"/>
    <w:rsid w:val="00536009"/>
    <w:rsid w:val="00551063"/>
    <w:rsid w:val="00555631"/>
    <w:rsid w:val="00557146"/>
    <w:rsid w:val="00560D8D"/>
    <w:rsid w:val="005647AE"/>
    <w:rsid w:val="00566294"/>
    <w:rsid w:val="005A086E"/>
    <w:rsid w:val="005B2059"/>
    <w:rsid w:val="005B5950"/>
    <w:rsid w:val="005C4DCC"/>
    <w:rsid w:val="005E109A"/>
    <w:rsid w:val="005E636C"/>
    <w:rsid w:val="005E750C"/>
    <w:rsid w:val="00611864"/>
    <w:rsid w:val="006131CF"/>
    <w:rsid w:val="00621E35"/>
    <w:rsid w:val="00625FD4"/>
    <w:rsid w:val="00626896"/>
    <w:rsid w:val="0064002E"/>
    <w:rsid w:val="00641F40"/>
    <w:rsid w:val="00643780"/>
    <w:rsid w:val="00647BFA"/>
    <w:rsid w:val="006669FB"/>
    <w:rsid w:val="00692B25"/>
    <w:rsid w:val="006C5DD1"/>
    <w:rsid w:val="006E62A5"/>
    <w:rsid w:val="007015D5"/>
    <w:rsid w:val="00706248"/>
    <w:rsid w:val="00717F2F"/>
    <w:rsid w:val="0073724A"/>
    <w:rsid w:val="007378C2"/>
    <w:rsid w:val="00772FCC"/>
    <w:rsid w:val="00783945"/>
    <w:rsid w:val="0078736C"/>
    <w:rsid w:val="00790D02"/>
    <w:rsid w:val="00791E02"/>
    <w:rsid w:val="00797FA9"/>
    <w:rsid w:val="007B7172"/>
    <w:rsid w:val="007C1C76"/>
    <w:rsid w:val="007C41C0"/>
    <w:rsid w:val="007D4700"/>
    <w:rsid w:val="007F2270"/>
    <w:rsid w:val="007F290C"/>
    <w:rsid w:val="00813052"/>
    <w:rsid w:val="0081355E"/>
    <w:rsid w:val="008342C2"/>
    <w:rsid w:val="0083707B"/>
    <w:rsid w:val="00842224"/>
    <w:rsid w:val="00857E6D"/>
    <w:rsid w:val="00871B3B"/>
    <w:rsid w:val="00876CEC"/>
    <w:rsid w:val="00891219"/>
    <w:rsid w:val="008A71EF"/>
    <w:rsid w:val="008A7E7B"/>
    <w:rsid w:val="008C34F8"/>
    <w:rsid w:val="008C6410"/>
    <w:rsid w:val="008D5920"/>
    <w:rsid w:val="008E2AE2"/>
    <w:rsid w:val="008F22FB"/>
    <w:rsid w:val="008F4EA8"/>
    <w:rsid w:val="00926918"/>
    <w:rsid w:val="0093005A"/>
    <w:rsid w:val="00976547"/>
    <w:rsid w:val="009815E5"/>
    <w:rsid w:val="00993B21"/>
    <w:rsid w:val="009A2841"/>
    <w:rsid w:val="009C4050"/>
    <w:rsid w:val="009C7F9D"/>
    <w:rsid w:val="009E0C1B"/>
    <w:rsid w:val="009E1DDD"/>
    <w:rsid w:val="009F49C6"/>
    <w:rsid w:val="00A12ED6"/>
    <w:rsid w:val="00A17320"/>
    <w:rsid w:val="00A24ECB"/>
    <w:rsid w:val="00A2743C"/>
    <w:rsid w:val="00A3379B"/>
    <w:rsid w:val="00A40186"/>
    <w:rsid w:val="00A40895"/>
    <w:rsid w:val="00A74988"/>
    <w:rsid w:val="00A7612F"/>
    <w:rsid w:val="00A907CE"/>
    <w:rsid w:val="00A95E19"/>
    <w:rsid w:val="00AA6F72"/>
    <w:rsid w:val="00AD2A9B"/>
    <w:rsid w:val="00AD7592"/>
    <w:rsid w:val="00AE2957"/>
    <w:rsid w:val="00AE4939"/>
    <w:rsid w:val="00B04476"/>
    <w:rsid w:val="00B04870"/>
    <w:rsid w:val="00B155AB"/>
    <w:rsid w:val="00B15EF5"/>
    <w:rsid w:val="00B32EFA"/>
    <w:rsid w:val="00B440D2"/>
    <w:rsid w:val="00B73045"/>
    <w:rsid w:val="00B73E1B"/>
    <w:rsid w:val="00B84627"/>
    <w:rsid w:val="00B87E39"/>
    <w:rsid w:val="00B94DD5"/>
    <w:rsid w:val="00BA0E36"/>
    <w:rsid w:val="00BA3EB3"/>
    <w:rsid w:val="00BB793F"/>
    <w:rsid w:val="00BD2077"/>
    <w:rsid w:val="00BF53A3"/>
    <w:rsid w:val="00C13329"/>
    <w:rsid w:val="00C139FD"/>
    <w:rsid w:val="00C14BB7"/>
    <w:rsid w:val="00C22DF2"/>
    <w:rsid w:val="00C23CCC"/>
    <w:rsid w:val="00C558FC"/>
    <w:rsid w:val="00C81DE2"/>
    <w:rsid w:val="00C875E4"/>
    <w:rsid w:val="00C876D1"/>
    <w:rsid w:val="00C93F60"/>
    <w:rsid w:val="00CC3173"/>
    <w:rsid w:val="00CC4D4F"/>
    <w:rsid w:val="00CE5017"/>
    <w:rsid w:val="00D149E3"/>
    <w:rsid w:val="00D23996"/>
    <w:rsid w:val="00D27D79"/>
    <w:rsid w:val="00D508C4"/>
    <w:rsid w:val="00D51B45"/>
    <w:rsid w:val="00D60836"/>
    <w:rsid w:val="00D61A6B"/>
    <w:rsid w:val="00D63804"/>
    <w:rsid w:val="00D71D85"/>
    <w:rsid w:val="00D76EB3"/>
    <w:rsid w:val="00D803B7"/>
    <w:rsid w:val="00DF5BAB"/>
    <w:rsid w:val="00E00F7C"/>
    <w:rsid w:val="00E03F5F"/>
    <w:rsid w:val="00E054B3"/>
    <w:rsid w:val="00E119B9"/>
    <w:rsid w:val="00E205FD"/>
    <w:rsid w:val="00E2235A"/>
    <w:rsid w:val="00E23911"/>
    <w:rsid w:val="00E27162"/>
    <w:rsid w:val="00E44F44"/>
    <w:rsid w:val="00E542A7"/>
    <w:rsid w:val="00E5444B"/>
    <w:rsid w:val="00E80708"/>
    <w:rsid w:val="00E955CA"/>
    <w:rsid w:val="00E96AFC"/>
    <w:rsid w:val="00EC300B"/>
    <w:rsid w:val="00ED1486"/>
    <w:rsid w:val="00ED1795"/>
    <w:rsid w:val="00ED4D9E"/>
    <w:rsid w:val="00ED6929"/>
    <w:rsid w:val="00EF39E8"/>
    <w:rsid w:val="00F05E8D"/>
    <w:rsid w:val="00F2577B"/>
    <w:rsid w:val="00F25A81"/>
    <w:rsid w:val="00F34F17"/>
    <w:rsid w:val="00F35464"/>
    <w:rsid w:val="00F4169D"/>
    <w:rsid w:val="00F469FD"/>
    <w:rsid w:val="00F51DE7"/>
    <w:rsid w:val="00F51E9E"/>
    <w:rsid w:val="00F53443"/>
    <w:rsid w:val="00F55498"/>
    <w:rsid w:val="00F86612"/>
    <w:rsid w:val="00F96B13"/>
    <w:rsid w:val="00FB01BC"/>
    <w:rsid w:val="00FB4DCE"/>
    <w:rsid w:val="00FB6E30"/>
    <w:rsid w:val="00FC07B6"/>
    <w:rsid w:val="00FC120F"/>
    <w:rsid w:val="00FC3456"/>
    <w:rsid w:val="00FD6308"/>
    <w:rsid w:val="00FE66A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0C1B"/>
    <w:pPr>
      <w:spacing w:before="120" w:after="120" w:line="288" w:lineRule="auto"/>
      <w:jc w:val="both"/>
    </w:pPr>
    <w:rPr>
      <w:rFonts w:ascii="Calibri" w:eastAsia="Times New Roman" w:hAnsi="Calibri" w:cs="Times New Roman"/>
      <w:sz w:val="24"/>
      <w:szCs w:val="24"/>
      <w:lang w:eastAsia="ro-RO"/>
    </w:rPr>
  </w:style>
  <w:style w:type="paragraph" w:styleId="Heading1">
    <w:name w:val="heading 1"/>
    <w:basedOn w:val="Normal"/>
    <w:next w:val="Normal"/>
    <w:link w:val="Heading1Char"/>
    <w:uiPriority w:val="9"/>
    <w:qFormat/>
    <w:rsid w:val="00115F0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63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7172"/>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7B7172"/>
    <w:rPr>
      <w:rFonts w:ascii="Garamond" w:hAnsi="Garamond"/>
      <w:sz w:val="24"/>
      <w:szCs w:val="24"/>
    </w:rPr>
  </w:style>
  <w:style w:type="paragraph" w:styleId="Footer">
    <w:name w:val="footer"/>
    <w:basedOn w:val="Normal"/>
    <w:link w:val="FooterChar"/>
    <w:uiPriority w:val="99"/>
    <w:unhideWhenUsed/>
    <w:rsid w:val="007B7172"/>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7B7172"/>
    <w:rPr>
      <w:rFonts w:ascii="Garamond" w:hAnsi="Garamond"/>
      <w:sz w:val="24"/>
      <w:szCs w:val="24"/>
    </w:rPr>
  </w:style>
  <w:style w:type="character" w:styleId="CommentReference">
    <w:name w:val="annotation reference"/>
    <w:basedOn w:val="DefaultParagraphFont"/>
    <w:uiPriority w:val="99"/>
    <w:semiHidden/>
    <w:unhideWhenUsed/>
    <w:rsid w:val="00857E6D"/>
    <w:rPr>
      <w:sz w:val="16"/>
      <w:szCs w:val="16"/>
    </w:rPr>
  </w:style>
  <w:style w:type="paragraph" w:styleId="CommentText">
    <w:name w:val="annotation text"/>
    <w:basedOn w:val="Normal"/>
    <w:link w:val="CommentTextChar"/>
    <w:uiPriority w:val="99"/>
    <w:semiHidden/>
    <w:unhideWhenUsed/>
    <w:rsid w:val="00857E6D"/>
    <w:pPr>
      <w:spacing w:line="240" w:lineRule="auto"/>
    </w:pPr>
    <w:rPr>
      <w:sz w:val="20"/>
      <w:szCs w:val="20"/>
    </w:rPr>
  </w:style>
  <w:style w:type="character" w:customStyle="1" w:styleId="CommentTextChar">
    <w:name w:val="Comment Text Char"/>
    <w:basedOn w:val="DefaultParagraphFont"/>
    <w:link w:val="CommentText"/>
    <w:uiPriority w:val="99"/>
    <w:semiHidden/>
    <w:rsid w:val="00857E6D"/>
    <w:rPr>
      <w:rFonts w:ascii="Calibri" w:eastAsia="Times New Roman" w:hAnsi="Calibri" w:cs="Times New Roman"/>
      <w:sz w:val="20"/>
      <w:szCs w:val="20"/>
      <w:lang w:eastAsia="ro-RO"/>
    </w:rPr>
  </w:style>
  <w:style w:type="paragraph" w:styleId="CommentSubject">
    <w:name w:val="annotation subject"/>
    <w:basedOn w:val="CommentText"/>
    <w:next w:val="CommentText"/>
    <w:link w:val="CommentSubjectChar"/>
    <w:uiPriority w:val="99"/>
    <w:semiHidden/>
    <w:unhideWhenUsed/>
    <w:rsid w:val="00857E6D"/>
    <w:rPr>
      <w:b/>
      <w:bCs/>
    </w:rPr>
  </w:style>
  <w:style w:type="character" w:customStyle="1" w:styleId="CommentSubjectChar">
    <w:name w:val="Comment Subject Char"/>
    <w:basedOn w:val="CommentTextChar"/>
    <w:link w:val="CommentSubject"/>
    <w:uiPriority w:val="99"/>
    <w:semiHidden/>
    <w:rsid w:val="00857E6D"/>
    <w:rPr>
      <w:rFonts w:ascii="Calibri" w:eastAsia="Times New Roman" w:hAnsi="Calibri" w:cs="Times New Roman"/>
      <w:b/>
      <w:bCs/>
      <w:sz w:val="20"/>
      <w:szCs w:val="20"/>
      <w:lang w:eastAsia="ro-RO"/>
    </w:rPr>
  </w:style>
  <w:style w:type="paragraph" w:styleId="ListParagraph">
    <w:name w:val="List Paragraph"/>
    <w:aliases w:val="body 2,List Paragraph1,List Paragraph11,Normal bullet 2,List_Paragraph,Multilevel para_II,Akapit z listą BS,Outlines a.b.c.,ERP-List Paragraph,Bullet EY,Forth level,Bullet 1,Table of contents numbered,A_wyliczenie,3,bu,bullets,Arial,L"/>
    <w:basedOn w:val="Normal"/>
    <w:link w:val="ListParagraphChar"/>
    <w:uiPriority w:val="34"/>
    <w:qFormat/>
    <w:rsid w:val="009C4050"/>
    <w:pPr>
      <w:ind w:left="720"/>
      <w:contextualSpacing/>
    </w:pPr>
  </w:style>
  <w:style w:type="character" w:customStyle="1" w:styleId="ListParagraphChar">
    <w:name w:val="List Paragraph Char"/>
    <w:aliases w:val="body 2 Char,List Paragraph1 Char,List Paragraph11 Char,Normal bullet 2 Char,List_Paragraph Char,Multilevel para_II Char,Akapit z listą BS Char,Outlines a.b.c. Char,ERP-List Paragraph Char,Bullet EY Char,Forth level Char,Bullet 1 Char"/>
    <w:link w:val="ListParagraph"/>
    <w:uiPriority w:val="34"/>
    <w:qFormat/>
    <w:locked/>
    <w:rsid w:val="00621E35"/>
    <w:rPr>
      <w:rFonts w:ascii="Calibri" w:eastAsia="Times New Roman" w:hAnsi="Calibri" w:cs="Times New Roman"/>
      <w:sz w:val="24"/>
      <w:szCs w:val="24"/>
      <w:lang w:eastAsia="ro-RO"/>
    </w:rPr>
  </w:style>
  <w:style w:type="table" w:styleId="TableGrid">
    <w:name w:val="Table Grid"/>
    <w:aliases w:val="Table Grid Arial,Table long document"/>
    <w:basedOn w:val="TableNormal"/>
    <w:uiPriority w:val="39"/>
    <w:rsid w:val="00717F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367CC9"/>
    <w:rPr>
      <w:color w:val="0563C1" w:themeColor="hyperlink"/>
      <w:u w:val="single"/>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ußnotentextf"/>
    <w:basedOn w:val="Normal"/>
    <w:link w:val="FootnoteTextChar"/>
    <w:qFormat/>
    <w:rsid w:val="00367CC9"/>
    <w:pPr>
      <w:tabs>
        <w:tab w:val="left" w:pos="357"/>
      </w:tabs>
    </w:pPr>
    <w:rPr>
      <w:rFonts w:ascii="Garamond" w:hAnsi="Garamond"/>
      <w:sz w:val="20"/>
      <w:szCs w:val="20"/>
      <w:lang w:eastAsia="en-US"/>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
    <w:basedOn w:val="DefaultParagraphFont"/>
    <w:link w:val="FootnoteText"/>
    <w:qFormat/>
    <w:rsid w:val="00367CC9"/>
    <w:rPr>
      <w:rFonts w:ascii="Garamond" w:eastAsia="Times New Roman" w:hAnsi="Garamond" w:cs="Times New Roman"/>
      <w:sz w:val="20"/>
      <w:szCs w:val="20"/>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
    <w:qFormat/>
    <w:rsid w:val="00367CC9"/>
    <w:rPr>
      <w:rFonts w:cs="Times New Roman"/>
      <w:vertAlign w:val="superscript"/>
    </w:rPr>
  </w:style>
  <w:style w:type="paragraph" w:styleId="Caption">
    <w:name w:val="caption"/>
    <w:basedOn w:val="Normal"/>
    <w:next w:val="Normal"/>
    <w:uiPriority w:val="35"/>
    <w:unhideWhenUsed/>
    <w:qFormat/>
    <w:rsid w:val="00367CC9"/>
    <w:pPr>
      <w:spacing w:before="0" w:after="200" w:line="240" w:lineRule="auto"/>
    </w:pPr>
    <w:rPr>
      <w:i/>
      <w:iCs/>
      <w:color w:val="44546A" w:themeColor="text2"/>
      <w:sz w:val="18"/>
      <w:szCs w:val="18"/>
    </w:rPr>
  </w:style>
  <w:style w:type="character" w:customStyle="1" w:styleId="MeniuneNerezolvat1">
    <w:name w:val="Mențiune Nerezolvat1"/>
    <w:basedOn w:val="DefaultParagraphFont"/>
    <w:uiPriority w:val="99"/>
    <w:semiHidden/>
    <w:unhideWhenUsed/>
    <w:rsid w:val="004F5FB6"/>
    <w:rPr>
      <w:color w:val="605E5C"/>
      <w:shd w:val="clear" w:color="auto" w:fill="E1DFDD"/>
    </w:rPr>
  </w:style>
  <w:style w:type="character" w:customStyle="1" w:styleId="Heading1Char">
    <w:name w:val="Heading 1 Char"/>
    <w:basedOn w:val="DefaultParagraphFont"/>
    <w:link w:val="Heading1"/>
    <w:uiPriority w:val="9"/>
    <w:rsid w:val="00115F0C"/>
    <w:rPr>
      <w:rFonts w:asciiTheme="majorHAnsi" w:eastAsiaTheme="majorEastAsia" w:hAnsiTheme="majorHAnsi" w:cstheme="majorBidi"/>
      <w:color w:val="2F5496" w:themeColor="accent1" w:themeShade="BF"/>
      <w:sz w:val="32"/>
      <w:szCs w:val="32"/>
      <w:lang w:eastAsia="ro-RO"/>
    </w:rPr>
  </w:style>
  <w:style w:type="character" w:customStyle="1" w:styleId="Heading2Char">
    <w:name w:val="Heading 2 Char"/>
    <w:basedOn w:val="DefaultParagraphFont"/>
    <w:link w:val="Heading2"/>
    <w:uiPriority w:val="9"/>
    <w:rsid w:val="00555631"/>
    <w:rPr>
      <w:rFonts w:asciiTheme="majorHAnsi" w:eastAsiaTheme="majorEastAsia" w:hAnsiTheme="majorHAnsi" w:cstheme="majorBidi"/>
      <w:color w:val="2F5496" w:themeColor="accent1" w:themeShade="BF"/>
      <w:sz w:val="26"/>
      <w:szCs w:val="26"/>
      <w:lang w:eastAsia="ro-RO"/>
    </w:rPr>
  </w:style>
  <w:style w:type="paragraph" w:customStyle="1" w:styleId="v2">
    <w:name w:val="v2"/>
    <w:basedOn w:val="Normal"/>
    <w:rsid w:val="00F86612"/>
    <w:pPr>
      <w:tabs>
        <w:tab w:val="num" w:pos="720"/>
      </w:tabs>
      <w:spacing w:before="0" w:after="200" w:line="276" w:lineRule="auto"/>
      <w:ind w:left="720" w:hanging="720"/>
      <w:jc w:val="left"/>
    </w:pPr>
    <w:rPr>
      <w:rFonts w:eastAsia="Calibri"/>
      <w:sz w:val="22"/>
      <w:szCs w:val="22"/>
      <w:lang w:val="en-US" w:eastAsia="en-US"/>
    </w:rPr>
  </w:style>
  <w:style w:type="paragraph" w:styleId="BalloonText">
    <w:name w:val="Balloon Text"/>
    <w:basedOn w:val="Normal"/>
    <w:link w:val="BalloonTextChar"/>
    <w:uiPriority w:val="99"/>
    <w:semiHidden/>
    <w:unhideWhenUsed/>
    <w:rsid w:val="007F290C"/>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290C"/>
    <w:rPr>
      <w:rFonts w:ascii="Segoe UI" w:eastAsia="Times New Roman" w:hAnsi="Segoe UI" w:cs="Segoe UI"/>
      <w:sz w:val="18"/>
      <w:szCs w:val="18"/>
      <w:lang w:eastAsia="ro-RO"/>
    </w:rPr>
  </w:style>
  <w:style w:type="paragraph" w:styleId="Revision">
    <w:name w:val="Revision"/>
    <w:hidden/>
    <w:uiPriority w:val="99"/>
    <w:semiHidden/>
    <w:rsid w:val="007378C2"/>
    <w:pPr>
      <w:spacing w:after="0" w:line="240" w:lineRule="auto"/>
    </w:pPr>
    <w:rPr>
      <w:rFonts w:ascii="Calibri" w:eastAsia="Times New Roman" w:hAnsi="Calibri" w:cs="Times New Roman"/>
      <w:sz w:val="24"/>
      <w:szCs w:val="24"/>
      <w:lang w:eastAsia="ro-RO"/>
    </w:rPr>
  </w:style>
  <w:style w:type="table" w:customStyle="1" w:styleId="TableGrid1">
    <w:name w:val="Table Grid1"/>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0C1B"/>
    <w:pPr>
      <w:spacing w:before="120" w:after="120" w:line="288" w:lineRule="auto"/>
      <w:jc w:val="both"/>
    </w:pPr>
    <w:rPr>
      <w:rFonts w:ascii="Calibri" w:eastAsia="Times New Roman" w:hAnsi="Calibri" w:cs="Times New Roman"/>
      <w:sz w:val="24"/>
      <w:szCs w:val="24"/>
      <w:lang w:eastAsia="ro-RO"/>
    </w:rPr>
  </w:style>
  <w:style w:type="paragraph" w:styleId="Heading1">
    <w:name w:val="heading 1"/>
    <w:basedOn w:val="Normal"/>
    <w:next w:val="Normal"/>
    <w:link w:val="Heading1Char"/>
    <w:uiPriority w:val="9"/>
    <w:qFormat/>
    <w:rsid w:val="00115F0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63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7172"/>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7B7172"/>
    <w:rPr>
      <w:rFonts w:ascii="Garamond" w:hAnsi="Garamond"/>
      <w:sz w:val="24"/>
      <w:szCs w:val="24"/>
    </w:rPr>
  </w:style>
  <w:style w:type="paragraph" w:styleId="Footer">
    <w:name w:val="footer"/>
    <w:basedOn w:val="Normal"/>
    <w:link w:val="FooterChar"/>
    <w:uiPriority w:val="99"/>
    <w:unhideWhenUsed/>
    <w:rsid w:val="007B7172"/>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7B7172"/>
    <w:rPr>
      <w:rFonts w:ascii="Garamond" w:hAnsi="Garamond"/>
      <w:sz w:val="24"/>
      <w:szCs w:val="24"/>
    </w:rPr>
  </w:style>
  <w:style w:type="character" w:styleId="CommentReference">
    <w:name w:val="annotation reference"/>
    <w:basedOn w:val="DefaultParagraphFont"/>
    <w:uiPriority w:val="99"/>
    <w:semiHidden/>
    <w:unhideWhenUsed/>
    <w:rsid w:val="00857E6D"/>
    <w:rPr>
      <w:sz w:val="16"/>
      <w:szCs w:val="16"/>
    </w:rPr>
  </w:style>
  <w:style w:type="paragraph" w:styleId="CommentText">
    <w:name w:val="annotation text"/>
    <w:basedOn w:val="Normal"/>
    <w:link w:val="CommentTextChar"/>
    <w:uiPriority w:val="99"/>
    <w:semiHidden/>
    <w:unhideWhenUsed/>
    <w:rsid w:val="00857E6D"/>
    <w:pPr>
      <w:spacing w:line="240" w:lineRule="auto"/>
    </w:pPr>
    <w:rPr>
      <w:sz w:val="20"/>
      <w:szCs w:val="20"/>
    </w:rPr>
  </w:style>
  <w:style w:type="character" w:customStyle="1" w:styleId="CommentTextChar">
    <w:name w:val="Comment Text Char"/>
    <w:basedOn w:val="DefaultParagraphFont"/>
    <w:link w:val="CommentText"/>
    <w:uiPriority w:val="99"/>
    <w:semiHidden/>
    <w:rsid w:val="00857E6D"/>
    <w:rPr>
      <w:rFonts w:ascii="Calibri" w:eastAsia="Times New Roman" w:hAnsi="Calibri" w:cs="Times New Roman"/>
      <w:sz w:val="20"/>
      <w:szCs w:val="20"/>
      <w:lang w:eastAsia="ro-RO"/>
    </w:rPr>
  </w:style>
  <w:style w:type="paragraph" w:styleId="CommentSubject">
    <w:name w:val="annotation subject"/>
    <w:basedOn w:val="CommentText"/>
    <w:next w:val="CommentText"/>
    <w:link w:val="CommentSubjectChar"/>
    <w:uiPriority w:val="99"/>
    <w:semiHidden/>
    <w:unhideWhenUsed/>
    <w:rsid w:val="00857E6D"/>
    <w:rPr>
      <w:b/>
      <w:bCs/>
    </w:rPr>
  </w:style>
  <w:style w:type="character" w:customStyle="1" w:styleId="CommentSubjectChar">
    <w:name w:val="Comment Subject Char"/>
    <w:basedOn w:val="CommentTextChar"/>
    <w:link w:val="CommentSubject"/>
    <w:uiPriority w:val="99"/>
    <w:semiHidden/>
    <w:rsid w:val="00857E6D"/>
    <w:rPr>
      <w:rFonts w:ascii="Calibri" w:eastAsia="Times New Roman" w:hAnsi="Calibri" w:cs="Times New Roman"/>
      <w:b/>
      <w:bCs/>
      <w:sz w:val="20"/>
      <w:szCs w:val="20"/>
      <w:lang w:eastAsia="ro-RO"/>
    </w:rPr>
  </w:style>
  <w:style w:type="paragraph" w:styleId="ListParagraph">
    <w:name w:val="List Paragraph"/>
    <w:aliases w:val="body 2,List Paragraph1,List Paragraph11,Normal bullet 2,List_Paragraph,Multilevel para_II,Akapit z listą BS,Outlines a.b.c.,ERP-List Paragraph,Bullet EY,Forth level,Bullet 1,Table of contents numbered,A_wyliczenie,3,bu,bullets,Arial,L"/>
    <w:basedOn w:val="Normal"/>
    <w:link w:val="ListParagraphChar"/>
    <w:uiPriority w:val="34"/>
    <w:qFormat/>
    <w:rsid w:val="009C4050"/>
    <w:pPr>
      <w:ind w:left="720"/>
      <w:contextualSpacing/>
    </w:pPr>
  </w:style>
  <w:style w:type="character" w:customStyle="1" w:styleId="ListParagraphChar">
    <w:name w:val="List Paragraph Char"/>
    <w:aliases w:val="body 2 Char,List Paragraph1 Char,List Paragraph11 Char,Normal bullet 2 Char,List_Paragraph Char,Multilevel para_II Char,Akapit z listą BS Char,Outlines a.b.c. Char,ERP-List Paragraph Char,Bullet EY Char,Forth level Char,Bullet 1 Char"/>
    <w:link w:val="ListParagraph"/>
    <w:uiPriority w:val="34"/>
    <w:qFormat/>
    <w:locked/>
    <w:rsid w:val="00621E35"/>
    <w:rPr>
      <w:rFonts w:ascii="Calibri" w:eastAsia="Times New Roman" w:hAnsi="Calibri" w:cs="Times New Roman"/>
      <w:sz w:val="24"/>
      <w:szCs w:val="24"/>
      <w:lang w:eastAsia="ro-RO"/>
    </w:rPr>
  </w:style>
  <w:style w:type="table" w:styleId="TableGrid">
    <w:name w:val="Table Grid"/>
    <w:aliases w:val="Table Grid Arial,Table long document"/>
    <w:basedOn w:val="TableNormal"/>
    <w:uiPriority w:val="39"/>
    <w:rsid w:val="00717F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367CC9"/>
    <w:rPr>
      <w:color w:val="0563C1" w:themeColor="hyperlink"/>
      <w:u w:val="single"/>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ußnotentextf"/>
    <w:basedOn w:val="Normal"/>
    <w:link w:val="FootnoteTextChar"/>
    <w:qFormat/>
    <w:rsid w:val="00367CC9"/>
    <w:pPr>
      <w:tabs>
        <w:tab w:val="left" w:pos="357"/>
      </w:tabs>
    </w:pPr>
    <w:rPr>
      <w:rFonts w:ascii="Garamond" w:hAnsi="Garamond"/>
      <w:sz w:val="20"/>
      <w:szCs w:val="20"/>
      <w:lang w:eastAsia="en-US"/>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
    <w:basedOn w:val="DefaultParagraphFont"/>
    <w:link w:val="FootnoteText"/>
    <w:qFormat/>
    <w:rsid w:val="00367CC9"/>
    <w:rPr>
      <w:rFonts w:ascii="Garamond" w:eastAsia="Times New Roman" w:hAnsi="Garamond" w:cs="Times New Roman"/>
      <w:sz w:val="20"/>
      <w:szCs w:val="20"/>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
    <w:qFormat/>
    <w:rsid w:val="00367CC9"/>
    <w:rPr>
      <w:rFonts w:cs="Times New Roman"/>
      <w:vertAlign w:val="superscript"/>
    </w:rPr>
  </w:style>
  <w:style w:type="paragraph" w:styleId="Caption">
    <w:name w:val="caption"/>
    <w:basedOn w:val="Normal"/>
    <w:next w:val="Normal"/>
    <w:uiPriority w:val="35"/>
    <w:unhideWhenUsed/>
    <w:qFormat/>
    <w:rsid w:val="00367CC9"/>
    <w:pPr>
      <w:spacing w:before="0" w:after="200" w:line="240" w:lineRule="auto"/>
    </w:pPr>
    <w:rPr>
      <w:i/>
      <w:iCs/>
      <w:color w:val="44546A" w:themeColor="text2"/>
      <w:sz w:val="18"/>
      <w:szCs w:val="18"/>
    </w:rPr>
  </w:style>
  <w:style w:type="character" w:customStyle="1" w:styleId="MeniuneNerezolvat1">
    <w:name w:val="Mențiune Nerezolvat1"/>
    <w:basedOn w:val="DefaultParagraphFont"/>
    <w:uiPriority w:val="99"/>
    <w:semiHidden/>
    <w:unhideWhenUsed/>
    <w:rsid w:val="004F5FB6"/>
    <w:rPr>
      <w:color w:val="605E5C"/>
      <w:shd w:val="clear" w:color="auto" w:fill="E1DFDD"/>
    </w:rPr>
  </w:style>
  <w:style w:type="character" w:customStyle="1" w:styleId="Heading1Char">
    <w:name w:val="Heading 1 Char"/>
    <w:basedOn w:val="DefaultParagraphFont"/>
    <w:link w:val="Heading1"/>
    <w:uiPriority w:val="9"/>
    <w:rsid w:val="00115F0C"/>
    <w:rPr>
      <w:rFonts w:asciiTheme="majorHAnsi" w:eastAsiaTheme="majorEastAsia" w:hAnsiTheme="majorHAnsi" w:cstheme="majorBidi"/>
      <w:color w:val="2F5496" w:themeColor="accent1" w:themeShade="BF"/>
      <w:sz w:val="32"/>
      <w:szCs w:val="32"/>
      <w:lang w:eastAsia="ro-RO"/>
    </w:rPr>
  </w:style>
  <w:style w:type="character" w:customStyle="1" w:styleId="Heading2Char">
    <w:name w:val="Heading 2 Char"/>
    <w:basedOn w:val="DefaultParagraphFont"/>
    <w:link w:val="Heading2"/>
    <w:uiPriority w:val="9"/>
    <w:rsid w:val="00555631"/>
    <w:rPr>
      <w:rFonts w:asciiTheme="majorHAnsi" w:eastAsiaTheme="majorEastAsia" w:hAnsiTheme="majorHAnsi" w:cstheme="majorBidi"/>
      <w:color w:val="2F5496" w:themeColor="accent1" w:themeShade="BF"/>
      <w:sz w:val="26"/>
      <w:szCs w:val="26"/>
      <w:lang w:eastAsia="ro-RO"/>
    </w:rPr>
  </w:style>
  <w:style w:type="paragraph" w:customStyle="1" w:styleId="v2">
    <w:name w:val="v2"/>
    <w:basedOn w:val="Normal"/>
    <w:rsid w:val="00F86612"/>
    <w:pPr>
      <w:tabs>
        <w:tab w:val="num" w:pos="720"/>
      </w:tabs>
      <w:spacing w:before="0" w:after="200" w:line="276" w:lineRule="auto"/>
      <w:ind w:left="720" w:hanging="720"/>
      <w:jc w:val="left"/>
    </w:pPr>
    <w:rPr>
      <w:rFonts w:eastAsia="Calibri"/>
      <w:sz w:val="22"/>
      <w:szCs w:val="22"/>
      <w:lang w:val="en-US" w:eastAsia="en-US"/>
    </w:rPr>
  </w:style>
  <w:style w:type="paragraph" w:styleId="BalloonText">
    <w:name w:val="Balloon Text"/>
    <w:basedOn w:val="Normal"/>
    <w:link w:val="BalloonTextChar"/>
    <w:uiPriority w:val="99"/>
    <w:semiHidden/>
    <w:unhideWhenUsed/>
    <w:rsid w:val="007F290C"/>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290C"/>
    <w:rPr>
      <w:rFonts w:ascii="Segoe UI" w:eastAsia="Times New Roman" w:hAnsi="Segoe UI" w:cs="Segoe UI"/>
      <w:sz w:val="18"/>
      <w:szCs w:val="18"/>
      <w:lang w:eastAsia="ro-RO"/>
    </w:rPr>
  </w:style>
  <w:style w:type="paragraph" w:styleId="Revision">
    <w:name w:val="Revision"/>
    <w:hidden/>
    <w:uiPriority w:val="99"/>
    <w:semiHidden/>
    <w:rsid w:val="007378C2"/>
    <w:pPr>
      <w:spacing w:after="0" w:line="240" w:lineRule="auto"/>
    </w:pPr>
    <w:rPr>
      <w:rFonts w:ascii="Calibri" w:eastAsia="Times New Roman" w:hAnsi="Calibri" w:cs="Times New Roman"/>
      <w:sz w:val="24"/>
      <w:szCs w:val="24"/>
      <w:lang w:eastAsia="ro-RO"/>
    </w:rPr>
  </w:style>
  <w:style w:type="table" w:customStyle="1" w:styleId="TableGrid1">
    <w:name w:val="Table Grid1"/>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39"/>
    <w:rsid w:val="00F96B13"/>
    <w:pPr>
      <w:spacing w:after="0" w:line="240" w:lineRule="auto"/>
      <w:jc w:val="both"/>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2232244">
      <w:bodyDiv w:val="1"/>
      <w:marLeft w:val="0"/>
      <w:marRight w:val="0"/>
      <w:marTop w:val="0"/>
      <w:marBottom w:val="0"/>
      <w:divBdr>
        <w:top w:val="none" w:sz="0" w:space="0" w:color="auto"/>
        <w:left w:val="none" w:sz="0" w:space="0" w:color="auto"/>
        <w:bottom w:val="none" w:sz="0" w:space="0" w:color="auto"/>
        <w:right w:val="none" w:sz="0" w:space="0" w:color="auto"/>
      </w:divBdr>
    </w:div>
    <w:div w:id="1843356952">
      <w:bodyDiv w:val="1"/>
      <w:marLeft w:val="0"/>
      <w:marRight w:val="0"/>
      <w:marTop w:val="0"/>
      <w:marBottom w:val="0"/>
      <w:divBdr>
        <w:top w:val="none" w:sz="0" w:space="0" w:color="auto"/>
        <w:left w:val="none" w:sz="0" w:space="0" w:color="auto"/>
        <w:bottom w:val="none" w:sz="0" w:space="0" w:color="auto"/>
        <w:right w:val="none" w:sz="0" w:space="0" w:color="auto"/>
      </w:divBdr>
    </w:div>
    <w:div w:id="2055234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hyperlink" Target="https://interregviarobg.eu/ro/consultare-publica-privind-raportul-de-mediu-si-a-programului-interreg-vi-a-romania-bulgaria-in-romania" TargetMode="External"/><Relationship Id="rId3" Type="http://schemas.openxmlformats.org/officeDocument/2006/relationships/styles" Target="styles.xml"/><Relationship Id="rId21" Type="http://schemas.openxmlformats.org/officeDocument/2006/relationships/hyperlink" Target="https://ncloud.mdrap.ro/f/5725380" TargetMode="Externa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hyperlink" Target="https://www.mdlpa.ro/subarticles/7/anunt17022022"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ncloud.mdrap.ro/s/mALmQ9Q6TzWMd2i" TargetMode="Externa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mediu.ro/categorie/programul-interreg-vi-a-romania-bulgaria/361" TargetMode="External"/><Relationship Id="rId24" Type="http://schemas.openxmlformats.org/officeDocument/2006/relationships/hyperlink" Target="http://www.mmediu.ro/categorie/programul-interreg-vi-a-romania-bulgaria/361"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hyperlink" Target="https://interregviarobg.eu/bg/startirane-na-obshchestveni-konsultatsii-po-doklad-za-ekologichna-otsenka-eo-po-programata-za-transnatsionalno-strudnichestvo-interreg-vi-a-rumniya-blgariya-2021-2027-g" TargetMode="External"/><Relationship Id="rId10" Type="http://schemas.openxmlformats.org/officeDocument/2006/relationships/hyperlink" Target="https://interregviarobg.eu/" TargetMode="External"/><Relationship Id="rId19" Type="http://schemas.openxmlformats.org/officeDocument/2006/relationships/image" Target="media/image9.jp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hyperlink" Target="https://www.mrrb.bg/bg/startirane-na-obstestveni-konsultacii-po-doklad-za-ekologichna-ocenka-eo-po-programata-za-transnacionalno-sutrudnichestvo-interreg-vi-a-rumuniya-bulgariya-2021-2027-g/"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28BE8-031C-40FB-A46E-13637CF131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6278</Words>
  <Characters>35786</Characters>
  <Application>Microsoft Office Word</Application>
  <DocSecurity>0</DocSecurity>
  <Lines>298</Lines>
  <Paragraphs>83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41981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Valentina Coman</dc:creator>
  <cp:lastModifiedBy>Windows User</cp:lastModifiedBy>
  <cp:revision>4</cp:revision>
  <cp:lastPrinted>2022-03-31T09:44:00Z</cp:lastPrinted>
  <dcterms:created xsi:type="dcterms:W3CDTF">2022-12-16T22:05:00Z</dcterms:created>
  <dcterms:modified xsi:type="dcterms:W3CDTF">2022-12-19T16:06:00Z</dcterms:modified>
</cp:coreProperties>
</file>