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D32" w:rsidRPr="00CE6D32" w:rsidRDefault="00D50BA2" w:rsidP="00CE6D32">
      <w:pPr>
        <w:spacing w:before="60" w:after="0" w:line="240" w:lineRule="auto"/>
        <w:jc w:val="right"/>
        <w:rPr>
          <w:rFonts w:ascii="Trebuchet MS" w:hAnsi="Trebuchet MS" w:cs="Arial"/>
          <w:color w:val="1F4E79" w:themeColor="accent1" w:themeShade="80"/>
          <w:lang w:val="en-GB"/>
        </w:rPr>
      </w:pPr>
      <w:bookmarkStart w:id="0" w:name="_GoBack"/>
      <w:bookmarkEnd w:id="0"/>
      <w:r w:rsidRPr="004D4008">
        <w:rPr>
          <w:rFonts w:ascii="Trebuchet MS" w:hAnsi="Trebuchet MS" w:cs="Arial"/>
          <w:color w:val="1F4E79" w:themeColor="accent1" w:themeShade="80"/>
          <w:lang w:val="en-GB"/>
        </w:rPr>
        <w:t>Annex A2</w:t>
      </w:r>
    </w:p>
    <w:p w:rsidR="00160981" w:rsidRPr="00CE6D32" w:rsidRDefault="004B06D2" w:rsidP="001F6867">
      <w:pPr>
        <w:spacing w:before="60" w:after="0" w:line="240" w:lineRule="auto"/>
        <w:jc w:val="center"/>
        <w:rPr>
          <w:rFonts w:ascii="Trebuchet MS" w:hAnsi="Trebuchet MS" w:cs="Arial"/>
          <w:b/>
          <w:color w:val="1F4E79" w:themeColor="accent1" w:themeShade="80"/>
          <w:sz w:val="32"/>
          <w:szCs w:val="32"/>
          <w:lang w:val="en-GB"/>
        </w:rPr>
      </w:pPr>
      <w:r w:rsidRPr="00CE6D32">
        <w:rPr>
          <w:rFonts w:ascii="Trebuchet MS" w:hAnsi="Trebuchet MS" w:cs="Arial"/>
          <w:b/>
          <w:color w:val="1F4E79" w:themeColor="accent1" w:themeShade="80"/>
          <w:sz w:val="32"/>
          <w:szCs w:val="32"/>
          <w:lang w:val="en-GB"/>
        </w:rPr>
        <w:t>Project</w:t>
      </w:r>
      <w:r w:rsidR="001F6867" w:rsidRPr="00CE6D32">
        <w:rPr>
          <w:rFonts w:ascii="Trebuchet MS" w:hAnsi="Trebuchet MS" w:cs="Arial"/>
          <w:b/>
          <w:color w:val="1F4E79" w:themeColor="accent1" w:themeShade="80"/>
          <w:sz w:val="32"/>
          <w:szCs w:val="32"/>
          <w:lang w:val="en-GB"/>
        </w:rPr>
        <w:t xml:space="preserve"> partner declaration</w:t>
      </w:r>
    </w:p>
    <w:p w:rsidR="001F6867" w:rsidRPr="001F6867" w:rsidRDefault="001F6867">
      <w:pPr>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acronym</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Text1"/>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ID</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original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English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Partner No as listed in the application form</w:t>
            </w:r>
          </w:p>
        </w:tc>
        <w:tc>
          <w:tcPr>
            <w:tcW w:w="6578" w:type="dxa"/>
          </w:tcPr>
          <w:p w:rsidR="001F6867" w:rsidRPr="001F6867" w:rsidRDefault="004B06D2"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bl>
    <w:p w:rsidR="001F6867" w:rsidRPr="001F6867" w:rsidRDefault="001F6867">
      <w:pPr>
        <w:rPr>
          <w:color w:val="1F4E79" w:themeColor="accent1" w:themeShade="80"/>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undersigned, representing the </w:t>
      </w:r>
      <w:r w:rsidR="004B06D2">
        <w:rPr>
          <w:rFonts w:ascii="Trebuchet MS" w:hAnsi="Trebuchet MS" w:cs="Arial"/>
          <w:color w:val="1F4E79" w:themeColor="accent1" w:themeShade="80"/>
          <w:sz w:val="20"/>
          <w:lang w:val="en-GB"/>
        </w:rPr>
        <w:fldChar w:fldCharType="begin">
          <w:ffData>
            <w:name w:val="Text1"/>
            <w:enabled/>
            <w:calcOnExit w:val="0"/>
            <w:textInput>
              <w:default w:val="Official name of the project partner organisation in English as listed in the AF"/>
            </w:textInput>
          </w:ffData>
        </w:fldChar>
      </w:r>
      <w:bookmarkStart w:id="1" w:name="Text1"/>
      <w:r w:rsidR="004B06D2">
        <w:rPr>
          <w:rFonts w:ascii="Trebuchet MS" w:hAnsi="Trebuchet MS" w:cs="Arial"/>
          <w:color w:val="1F4E79" w:themeColor="accent1" w:themeShade="80"/>
          <w:sz w:val="20"/>
          <w:lang w:val="en-GB"/>
        </w:rPr>
        <w:instrText xml:space="preserve"> FORMTEXT </w:instrText>
      </w:r>
      <w:r w:rsidR="004B06D2">
        <w:rPr>
          <w:rFonts w:ascii="Trebuchet MS" w:hAnsi="Trebuchet MS" w:cs="Arial"/>
          <w:color w:val="1F4E79" w:themeColor="accent1" w:themeShade="80"/>
          <w:sz w:val="20"/>
          <w:lang w:val="en-GB"/>
        </w:rPr>
      </w:r>
      <w:r w:rsidR="004B06D2">
        <w:rPr>
          <w:rFonts w:ascii="Trebuchet MS" w:hAnsi="Trebuchet MS" w:cs="Arial"/>
          <w:color w:val="1F4E79" w:themeColor="accent1" w:themeShade="80"/>
          <w:sz w:val="20"/>
          <w:lang w:val="en-GB"/>
        </w:rPr>
        <w:fldChar w:fldCharType="separate"/>
      </w:r>
      <w:r w:rsidR="004B06D2">
        <w:rPr>
          <w:rFonts w:ascii="Trebuchet MS" w:hAnsi="Trebuchet MS" w:cs="Arial"/>
          <w:noProof/>
          <w:color w:val="1F4E79" w:themeColor="accent1" w:themeShade="80"/>
          <w:sz w:val="20"/>
          <w:lang w:val="en-GB"/>
        </w:rPr>
        <w:t>Official name of the project partner organisation in English as listed in the AF</w:t>
      </w:r>
      <w:r w:rsidR="004B06D2">
        <w:rPr>
          <w:rFonts w:ascii="Trebuchet MS" w:hAnsi="Trebuchet MS" w:cs="Arial"/>
          <w:color w:val="1F4E79" w:themeColor="accent1" w:themeShade="80"/>
          <w:sz w:val="20"/>
          <w:lang w:val="en-GB"/>
        </w:rPr>
        <w:fldChar w:fldCharType="end"/>
      </w:r>
      <w:bookmarkEnd w:id="1"/>
      <w:r w:rsidRPr="001F6867">
        <w:rPr>
          <w:rFonts w:ascii="Trebuchet MS" w:hAnsi="Trebuchet MS" w:cs="Arial"/>
          <w:color w:val="1F4E79" w:themeColor="accent1" w:themeShade="80"/>
          <w:sz w:val="20"/>
          <w:szCs w:val="20"/>
          <w:lang w:val="en-GB"/>
        </w:rPr>
        <w:t xml:space="preserve"> participating in the above mentioned </w:t>
      </w:r>
      <w:r w:rsidRPr="001F6867">
        <w:rPr>
          <w:rFonts w:ascii="Trebuchet MS" w:hAnsi="Trebuchet MS" w:cs="Arial"/>
          <w:b/>
          <w:color w:val="1F4E79" w:themeColor="accent1" w:themeShade="80"/>
          <w:sz w:val="20"/>
          <w:szCs w:val="20"/>
          <w:lang w:val="en-GB"/>
        </w:rPr>
        <w:t>Interreg VI-A Romania-Bulgaria Programme</w:t>
      </w:r>
      <w:r w:rsidRPr="001F6867">
        <w:rPr>
          <w:rFonts w:ascii="Trebuchet MS" w:hAnsi="Trebuchet MS" w:cs="Arial"/>
          <w:color w:val="1F4E79" w:themeColor="accent1" w:themeShade="80"/>
          <w:sz w:val="20"/>
          <w:szCs w:val="20"/>
          <w:lang w:val="en-GB"/>
        </w:rPr>
        <w:t xml:space="preserve"> project proposal with the role of </w:t>
      </w:r>
      <w:r w:rsidR="00F44DCB">
        <w:rPr>
          <w:rFonts w:ascii="Trebuchet MS" w:hAnsi="Trebuchet MS" w:cs="Arial"/>
          <w:color w:val="1F4E79" w:themeColor="accent1" w:themeShade="80"/>
          <w:sz w:val="20"/>
          <w:szCs w:val="20"/>
          <w:lang w:val="en-GB"/>
        </w:rPr>
        <w:t>project</w:t>
      </w:r>
      <w:r w:rsidRPr="001F6867">
        <w:rPr>
          <w:rFonts w:ascii="Trebuchet MS" w:hAnsi="Trebuchet MS" w:cs="Arial"/>
          <w:color w:val="1F4E79" w:themeColor="accent1" w:themeShade="80"/>
          <w:sz w:val="20"/>
          <w:szCs w:val="20"/>
          <w:lang w:val="en-GB"/>
        </w:rPr>
        <w:t xml:space="preserve"> partner, hereby certifies the following:</w:t>
      </w:r>
    </w:p>
    <w:p w:rsidR="001F6867" w:rsidRPr="001F6867" w:rsidRDefault="001F6867" w:rsidP="001F6867">
      <w:pPr>
        <w:spacing w:before="60" w:after="0" w:line="240" w:lineRule="auto"/>
        <w:jc w:val="both"/>
        <w:rPr>
          <w:rFonts w:ascii="Trebuchet MS" w:hAnsi="Trebuchet MS" w:cs="Arial"/>
          <w:color w:val="1F4E79" w:themeColor="accent1" w:themeShade="80"/>
          <w:lang w:val="en-GB"/>
        </w:rPr>
      </w:pP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 am legally authorised to sign this statement on behalf of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w:t>
      </w:r>
    </w:p>
    <w:p w:rsidR="001F6867" w:rsidRPr="00A250DD"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In the event of approval of the project proposal,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commits itself to provide the co-financing to the European Regional Development Fund (ERDF) budget allocated to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as indicated in Part B</w:t>
      </w:r>
      <w:r w:rsidRPr="00A250DD">
        <w:rPr>
          <w:rFonts w:ascii="Trebuchet MS" w:hAnsi="Trebuchet MS" w:cs="Arial"/>
          <w:color w:val="1F4E79" w:themeColor="accent1" w:themeShade="80"/>
          <w:sz w:val="20"/>
          <w:szCs w:val="20"/>
          <w:lang w:val="en-GB"/>
        </w:rPr>
        <w:t>, table B.1.8, of the submitted application form.</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A250DD">
        <w:rPr>
          <w:rFonts w:ascii="Trebuchet MS" w:hAnsi="Trebuchet MS" w:cs="Arial"/>
          <w:color w:val="1F4E79" w:themeColor="accent1" w:themeShade="80"/>
          <w:sz w:val="20"/>
          <w:szCs w:val="20"/>
          <w:lang w:val="en-GB"/>
        </w:rPr>
        <w:t>I hereby confirm that the legal status of my institution as indicated in Part B, table B.1.3, of</w:t>
      </w:r>
      <w:r w:rsidRPr="001F6867">
        <w:rPr>
          <w:rFonts w:ascii="Trebuchet MS" w:hAnsi="Trebuchet MS" w:cs="Arial"/>
          <w:color w:val="1F4E79" w:themeColor="accent1" w:themeShade="80"/>
          <w:sz w:val="20"/>
          <w:szCs w:val="20"/>
          <w:lang w:val="en-GB"/>
        </w:rPr>
        <w:t xml:space="preserve"> the submitted application form is correct.</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has the adequate legal capacity to participate in the </w:t>
      </w:r>
      <w:r>
        <w:rPr>
          <w:rFonts w:ascii="Trebuchet MS" w:hAnsi="Trebuchet MS" w:cs="Arial"/>
          <w:color w:val="1F4E79" w:themeColor="accent1" w:themeShade="80"/>
          <w:sz w:val="20"/>
          <w:szCs w:val="20"/>
          <w:lang w:val="en-GB"/>
        </w:rPr>
        <w:t>Interreg VI-A Romania-Bulgaria Programme</w:t>
      </w:r>
      <w:r w:rsidRPr="001F6867">
        <w:rPr>
          <w:rFonts w:ascii="Trebuchet MS" w:hAnsi="Trebuchet MS" w:cs="Arial"/>
          <w:color w:val="1F4E79" w:themeColor="accent1" w:themeShade="80"/>
          <w:sz w:val="20"/>
          <w:szCs w:val="20"/>
          <w:lang w:val="en-GB"/>
        </w:rPr>
        <w:t xml:space="preserve"> call for proposals and especially to submit legally relevant documents;</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has the financial capacity to implement the project and in particular:</w:t>
      </w:r>
    </w:p>
    <w:p w:rsidR="001F6867" w:rsidRPr="001F6867" w:rsidRDefault="001F6867" w:rsidP="001F6867">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proposed financial commitment is adequate to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´s size and capacity;</w:t>
      </w:r>
    </w:p>
    <w:p w:rsidR="001F6867" w:rsidRPr="001F6867" w:rsidRDefault="001F6867" w:rsidP="001F6867">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It has the capacity to pre-finance project activities also for considerable amounts;</w:t>
      </w:r>
    </w:p>
    <w:p w:rsidR="001F6867" w:rsidRDefault="001F6867" w:rsidP="001F6867">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Possible delays in ERDF reimbursement will not undermine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´s capacity of implementing the foreseen actions within the project.</w:t>
      </w:r>
    </w:p>
    <w:p w:rsidR="00A82308" w:rsidRPr="00861772" w:rsidRDefault="00A82308" w:rsidP="00861772">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Non eligible</w:t>
      </w:r>
      <w:r w:rsidR="00455928">
        <w:rPr>
          <w:rFonts w:ascii="Trebuchet MS" w:hAnsi="Trebuchet MS" w:cs="Arial"/>
          <w:color w:val="1F4E79" w:themeColor="accent1" w:themeShade="80"/>
          <w:sz w:val="20"/>
          <w:szCs w:val="20"/>
          <w:lang w:val="en-GB"/>
        </w:rPr>
        <w:t>/non-refundable</w:t>
      </w:r>
      <w:r>
        <w:rPr>
          <w:rFonts w:ascii="Trebuchet MS" w:hAnsi="Trebuchet MS" w:cs="Arial"/>
          <w:color w:val="1F4E79" w:themeColor="accent1" w:themeShade="80"/>
          <w:sz w:val="20"/>
          <w:szCs w:val="20"/>
          <w:lang w:val="en-GB"/>
        </w:rPr>
        <w:t xml:space="preserve"> expenditures, where the case.</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has the administrative and operational capacity to implement the project proposal and in particular:</w:t>
      </w:r>
    </w:p>
    <w:p w:rsidR="001F6867" w:rsidRPr="001F6867" w:rsidRDefault="001F6867" w:rsidP="001F6867">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It has enough human resources and technical means to ensure a sound project implementation and management;</w:t>
      </w:r>
    </w:p>
    <w:p w:rsidR="001F6867" w:rsidRPr="001F6867" w:rsidRDefault="001F6867" w:rsidP="001F6867">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Its administrative and financial involvement in the project does not undermine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´s daily activities.</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has the necessary financial resources and mechanisms to cover operation and maintenance costs for investment in infrastructure or productive investment if implemented within the project, so as to ensure their financial sustainability.</w:t>
      </w:r>
    </w:p>
    <w:p w:rsidR="001F6867" w:rsidRPr="00521CC4" w:rsidRDefault="001F6867" w:rsidP="00521CC4">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521CC4">
        <w:rPr>
          <w:rFonts w:ascii="Trebuchet MS" w:hAnsi="Trebuchet MS" w:cs="Arial"/>
          <w:color w:val="1F4E79" w:themeColor="accent1" w:themeShade="80"/>
          <w:sz w:val="20"/>
          <w:szCs w:val="20"/>
          <w:lang w:val="en-GB"/>
        </w:rPr>
        <w:lastRenderedPageBreak/>
        <w:t>The institution</w:t>
      </w:r>
      <w:r w:rsidR="00521CC4">
        <w:rPr>
          <w:rFonts w:ascii="Trebuchet MS" w:hAnsi="Trebuchet MS" w:cs="Arial"/>
          <w:color w:val="1F4E79" w:themeColor="accent1" w:themeShade="80"/>
          <w:sz w:val="20"/>
          <w:szCs w:val="20"/>
          <w:lang w:val="en-GB"/>
        </w:rPr>
        <w:t xml:space="preserve"> I represent is not</w:t>
      </w:r>
      <w:r w:rsidRPr="00521CC4">
        <w:rPr>
          <w:rFonts w:ascii="Trebuchet MS" w:hAnsi="Trebuchet MS" w:cs="Arial"/>
          <w:color w:val="1F4E79" w:themeColor="accent1" w:themeShade="80"/>
          <w:sz w:val="20"/>
          <w:szCs w:val="20"/>
          <w:lang w:val="en-GB"/>
        </w:rPr>
        <w:t xml:space="preserve"> </w:t>
      </w:r>
      <w:r w:rsidR="00521CC4" w:rsidRPr="00521CC4">
        <w:rPr>
          <w:rFonts w:ascii="Trebuchet MS" w:hAnsi="Trebuchet MS" w:cs="Arial"/>
          <w:color w:val="1F4E79" w:themeColor="accent1" w:themeShade="80"/>
          <w:sz w:val="20"/>
          <w:szCs w:val="20"/>
          <w:lang w:val="en-GB"/>
        </w:rPr>
        <w:t xml:space="preserve">under a bankruptcy proceeding, </w:t>
      </w:r>
      <w:proofErr w:type="gramStart"/>
      <w:r w:rsidR="00521CC4" w:rsidRPr="00521CC4">
        <w:rPr>
          <w:rFonts w:ascii="Trebuchet MS" w:hAnsi="Trebuchet MS" w:cs="Arial"/>
          <w:color w:val="1F4E79" w:themeColor="accent1" w:themeShade="80"/>
          <w:sz w:val="20"/>
          <w:szCs w:val="20"/>
          <w:lang w:val="en-GB"/>
        </w:rPr>
        <w:t>bears</w:t>
      </w:r>
      <w:proofErr w:type="gramEnd"/>
      <w:r w:rsidR="00521CC4" w:rsidRPr="00521CC4">
        <w:rPr>
          <w:rFonts w:ascii="Trebuchet MS" w:hAnsi="Trebuchet MS" w:cs="Arial"/>
          <w:color w:val="1F4E79" w:themeColor="accent1" w:themeShade="80"/>
          <w:sz w:val="20"/>
          <w:szCs w:val="20"/>
          <w:lang w:val="en-GB"/>
        </w:rPr>
        <w:t xml:space="preserve"> full legal capacity and is financially reliable, and that its foundation and activities are in line with the respective national legislation</w:t>
      </w:r>
      <w:r w:rsidRPr="00521CC4">
        <w:rPr>
          <w:rFonts w:ascii="Trebuchet MS" w:hAnsi="Trebuchet MS" w:cs="Arial"/>
          <w:color w:val="1F4E79" w:themeColor="accent1" w:themeShade="80"/>
          <w:sz w:val="20"/>
          <w:szCs w:val="20"/>
          <w:lang w:val="en-GB"/>
        </w:rPr>
        <w:t xml:space="preserve">. </w:t>
      </w:r>
    </w:p>
    <w:p w:rsidR="00A3593C" w:rsidRPr="00342861" w:rsidRDefault="00A3593C" w:rsidP="00A3593C">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 xml:space="preserve">The institution I represent </w:t>
      </w:r>
      <w:r w:rsidRPr="00342861">
        <w:rPr>
          <w:rFonts w:ascii="Trebuchet MS" w:hAnsi="Trebuchet MS" w:cs="Arial"/>
          <w:color w:val="1F4E79" w:themeColor="accent1" w:themeShade="80"/>
          <w:sz w:val="20"/>
          <w:szCs w:val="20"/>
          <w:lang w:val="en-GB"/>
        </w:rPr>
        <w:t xml:space="preserve">is not in one of the following situations: </w:t>
      </w:r>
    </w:p>
    <w:p w:rsidR="00A3593C" w:rsidRPr="00342861" w:rsidRDefault="00A3593C" w:rsidP="00A3593C">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It has been established by a final judgment or a final administrative decision that the person or entity is in breach of its obligations relating to the payment of taxes or social security contributions in accordance with the applicable law;</w:t>
      </w:r>
    </w:p>
    <w:p w:rsidR="00A3593C" w:rsidRPr="00342861" w:rsidRDefault="00A3593C" w:rsidP="00A3593C">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fraudulently or negligently misrepresenting information required for the verification of the absence of grounds for exclusion or the fulfilment of eligibility or selection criteria or in the implementation of the legal commitment;</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entering into agreement with other persons or entities with the aim of distorting competition;</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violating intellectual property rights;</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attempting to influence the decision-making of the authorising officer responsible during the award procedure;</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attempting to obtain confidential information that may confer upon it undue advantages in the award procedure;</w:t>
      </w:r>
    </w:p>
    <w:p w:rsidR="00A3593C" w:rsidRPr="00342861" w:rsidRDefault="00A3593C" w:rsidP="00A3593C">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it has been established by a final judgment that the person or entity is guilty of any of the following:</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fraud, within the meaning of Article 3 of Directive (EU) 2017/1371 of the European Parliament and of the Council (44) and Article 1 of the Convention on the protection of the European Communities’ financial interests, drawn up by the Council Act of 26 July 1995 (45);</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(46), or conduct referred to in Article 2(1) of Council Framework Decision 2003/568/JHA (47), or corruption as defined in other applicable laws;</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conduct related to a criminal organisation as referred to in Article 2 of Council Framework Decision 2008/841/JHA (48);</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money laundering or terrorist financing within the meaning of Article 1(3), (4) and (5) of Directive (EU) 2015/849 of the European Parliament and of the Council (49);</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terrorist offences or offences linked to terrorist activities, as defined in Articles 1 and 3 of Council Framework Decision 2002/475/JHA (50), respectively, or inciting, aiding, abetting or attempting to commit such offences, as referred to in Article 4 of that Decision;</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child labour or other offences concerning trafficking in human beings as referred to in Article 2 of Directive 2011/36/EU of the European Parliament and of the Council (51);</w:t>
      </w:r>
    </w:p>
    <w:p w:rsidR="00A3593C" w:rsidRPr="00342861" w:rsidRDefault="00A3593C" w:rsidP="00A3593C">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lastRenderedPageBreak/>
        <w:t>the person or entity has shown significant deficiencies in complying with main obligations in the implementation of a legal commitment financed by the budget which has:</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led to the early termination of a legal commitment;</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led to the application of liquidated damages or other contractual penalties; or</w:t>
      </w:r>
    </w:p>
    <w:p w:rsidR="00A3593C" w:rsidRPr="00342861" w:rsidRDefault="00A3593C" w:rsidP="00A3593C">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been discovered by an authorising officer, OLAF or the Court of Auditors following checks, audits or investigations;</w:t>
      </w:r>
    </w:p>
    <w:p w:rsidR="00A3593C" w:rsidRPr="00342861" w:rsidRDefault="00A3593C" w:rsidP="00A3593C">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 xml:space="preserve">it has been established by a final judgment or final administrative decision that the person or entity has committed an irregularity within the meaning of Article 1(2) of Council Regulation (EC, </w:t>
      </w:r>
      <w:proofErr w:type="spellStart"/>
      <w:r w:rsidRPr="00342861">
        <w:rPr>
          <w:rFonts w:ascii="Trebuchet MS" w:hAnsi="Trebuchet MS" w:cs="Arial"/>
          <w:color w:val="1F4E79" w:themeColor="accent1" w:themeShade="80"/>
          <w:sz w:val="20"/>
          <w:szCs w:val="20"/>
          <w:lang w:val="en-GB"/>
        </w:rPr>
        <w:t>Euratom</w:t>
      </w:r>
      <w:proofErr w:type="spellEnd"/>
      <w:r w:rsidRPr="00342861">
        <w:rPr>
          <w:rFonts w:ascii="Trebuchet MS" w:hAnsi="Trebuchet MS" w:cs="Arial"/>
          <w:color w:val="1F4E79" w:themeColor="accent1" w:themeShade="80"/>
          <w:sz w:val="20"/>
          <w:szCs w:val="20"/>
          <w:lang w:val="en-GB"/>
        </w:rPr>
        <w:t>) No 2988/95 (52);</w:t>
      </w:r>
    </w:p>
    <w:p w:rsidR="00A3593C" w:rsidRPr="00342861" w:rsidRDefault="00A3593C" w:rsidP="00A3593C">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rsidR="00A3593C" w:rsidRPr="00342861" w:rsidRDefault="00A3593C" w:rsidP="00A3593C">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proofErr w:type="gramStart"/>
      <w:r w:rsidRPr="00342861">
        <w:rPr>
          <w:rFonts w:ascii="Trebuchet MS" w:hAnsi="Trebuchet MS" w:cs="Arial"/>
          <w:color w:val="1F4E79" w:themeColor="accent1" w:themeShade="80"/>
          <w:sz w:val="20"/>
          <w:szCs w:val="20"/>
          <w:lang w:val="en-GB"/>
        </w:rPr>
        <w:t>it</w:t>
      </w:r>
      <w:proofErr w:type="gramEnd"/>
      <w:r w:rsidRPr="00342861">
        <w:rPr>
          <w:rFonts w:ascii="Trebuchet MS" w:hAnsi="Trebuchet MS" w:cs="Arial"/>
          <w:color w:val="1F4E79" w:themeColor="accent1" w:themeShade="80"/>
          <w:sz w:val="20"/>
          <w:szCs w:val="20"/>
          <w:lang w:val="en-GB"/>
        </w:rPr>
        <w:t xml:space="preserve"> has been established by a final judgment or final administrative decision that an entity has been created with the intent referred to in point (h). </w:t>
      </w:r>
    </w:p>
    <w:p w:rsidR="00A3593C" w:rsidRPr="00342861" w:rsidRDefault="00A3593C" w:rsidP="00A3593C">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proofErr w:type="gramStart"/>
      <w:r w:rsidRPr="00342861">
        <w:rPr>
          <w:rFonts w:ascii="Trebuchet MS" w:hAnsi="Trebuchet MS" w:cs="Arial"/>
          <w:color w:val="1F4E79" w:themeColor="accent1" w:themeShade="80"/>
          <w:sz w:val="20"/>
          <w:szCs w:val="20"/>
          <w:lang w:val="en-GB"/>
        </w:rPr>
        <w:t>is</w:t>
      </w:r>
      <w:proofErr w:type="gramEnd"/>
      <w:r w:rsidRPr="00342861">
        <w:rPr>
          <w:rFonts w:ascii="Trebuchet MS" w:hAnsi="Trebuchet MS" w:cs="Arial"/>
          <w:color w:val="1F4E79" w:themeColor="accent1" w:themeShade="80"/>
          <w:sz w:val="20"/>
          <w:szCs w:val="20"/>
          <w:lang w:val="en-GB"/>
        </w:rPr>
        <w:t xml:space="preserve"> subject to a conflict of interests; the conflict of interests represents any circumstances that may affect the evaluation or implementation process, in an objective and impartial manner. Such circumstances may result from economic interests, political or national preferences or family connections. </w:t>
      </w:r>
    </w:p>
    <w:p w:rsidR="00A3593C" w:rsidRPr="00342861" w:rsidRDefault="00A3593C" w:rsidP="00A3593C">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is guilty of misrepresentation in supplying the information required by the Managing Authority/ Joint Secretariat as a condition of participation in the call for proposals or fail to supply this information which might have led to a different decision of the evaluators/ Managing Authority during the evaluation process;</w:t>
      </w:r>
    </w:p>
    <w:p w:rsidR="001F6867" w:rsidRPr="00A3593C" w:rsidRDefault="00A3593C" w:rsidP="00A3593C">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proofErr w:type="gramStart"/>
      <w:r w:rsidRPr="00342861">
        <w:rPr>
          <w:rFonts w:ascii="Trebuchet MS" w:hAnsi="Trebuchet MS" w:cs="Arial"/>
          <w:color w:val="1F4E79" w:themeColor="accent1" w:themeShade="80"/>
          <w:sz w:val="20"/>
          <w:szCs w:val="20"/>
          <w:lang w:val="en-GB"/>
        </w:rPr>
        <w:t>has</w:t>
      </w:r>
      <w:proofErr w:type="gramEnd"/>
      <w:r w:rsidRPr="00342861">
        <w:rPr>
          <w:rFonts w:ascii="Trebuchet MS" w:hAnsi="Trebuchet MS" w:cs="Arial"/>
          <w:color w:val="1F4E79" w:themeColor="accent1" w:themeShade="80"/>
          <w:sz w:val="20"/>
          <w:szCs w:val="20"/>
          <w:lang w:val="en-GB"/>
        </w:rPr>
        <w:t xml:space="preserve"> attempted to obtain confidential information or influence the evaluation bodies or the Managing Authority during the evaluation process of current </w:t>
      </w:r>
      <w:r>
        <w:rPr>
          <w:rFonts w:ascii="Trebuchet MS" w:hAnsi="Trebuchet MS" w:cs="Arial"/>
          <w:color w:val="1F4E79" w:themeColor="accent1" w:themeShade="80"/>
          <w:sz w:val="20"/>
          <w:szCs w:val="20"/>
          <w:lang w:val="en-GB"/>
        </w:rPr>
        <w:t>or previous calls for proposals.</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All information concerning the participation of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in the project proposal, as enclosed in the application form, has been verified and it is correct;</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The project proposal, as described in the application form, is unique in its objective, approach and activities to the best of my knowledge;</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The information included in the application form is accurate and true to the best of my knowledge;</w:t>
      </w:r>
    </w:p>
    <w:p w:rsid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The project proposal, or any part of it, has not and will not receive support from other EU-funded programmes</w:t>
      </w:r>
      <w:r w:rsidR="004B06D2">
        <w:rPr>
          <w:rFonts w:ascii="Trebuchet MS" w:hAnsi="Trebuchet MS" w:cs="Arial"/>
          <w:color w:val="1F4E79" w:themeColor="accent1" w:themeShade="80"/>
          <w:sz w:val="20"/>
          <w:szCs w:val="20"/>
          <w:lang w:val="en-GB"/>
        </w:rPr>
        <w:t xml:space="preserve"> or other public funds</w:t>
      </w:r>
      <w:r w:rsidRPr="001F6867">
        <w:rPr>
          <w:rFonts w:ascii="Trebuchet MS" w:hAnsi="Trebuchet MS" w:cs="Arial"/>
          <w:color w:val="1F4E79" w:themeColor="accent1" w:themeShade="80"/>
          <w:sz w:val="20"/>
          <w:szCs w:val="20"/>
          <w:lang w:val="en-GB"/>
        </w:rPr>
        <w:t xml:space="preserve">. In case that any of such funding is received after the submission of this proposal or during the implementation of the project,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will immediately inform the Managing Authority;</w:t>
      </w:r>
    </w:p>
    <w:p w:rsidR="00A73717" w:rsidRPr="00861772" w:rsidRDefault="00A73717" w:rsidP="00861772">
      <w:pPr>
        <w:pStyle w:val="ListParagraph"/>
        <w:numPr>
          <w:ilvl w:val="0"/>
          <w:numId w:val="2"/>
        </w:numPr>
        <w:rPr>
          <w:rFonts w:ascii="Trebuchet MS" w:hAnsi="Trebuchet MS" w:cs="Arial"/>
          <w:color w:val="1F4E79" w:themeColor="accent1" w:themeShade="80"/>
          <w:sz w:val="20"/>
          <w:szCs w:val="20"/>
          <w:lang w:val="en-GB"/>
        </w:rPr>
      </w:pPr>
      <w:r w:rsidRPr="00A73717">
        <w:rPr>
          <w:rFonts w:ascii="Trebuchet MS" w:hAnsi="Trebuchet MS" w:cs="Arial"/>
          <w:color w:val="1F4E79" w:themeColor="accent1" w:themeShade="80"/>
          <w:sz w:val="20"/>
          <w:szCs w:val="20"/>
          <w:lang w:val="en-GB"/>
        </w:rPr>
        <w:t xml:space="preserve">The project proposal was not physically completed or fully implemented before the application for funding under the </w:t>
      </w:r>
      <w:proofErr w:type="spellStart"/>
      <w:r w:rsidRPr="00A73717">
        <w:rPr>
          <w:rFonts w:ascii="Trebuchet MS" w:hAnsi="Trebuchet MS" w:cs="Arial"/>
          <w:color w:val="1F4E79" w:themeColor="accent1" w:themeShade="80"/>
          <w:sz w:val="20"/>
          <w:szCs w:val="20"/>
          <w:lang w:val="en-GB"/>
        </w:rPr>
        <w:t>Interreg</w:t>
      </w:r>
      <w:proofErr w:type="spellEnd"/>
      <w:r w:rsidRPr="00A73717">
        <w:rPr>
          <w:rFonts w:ascii="Trebuchet MS" w:hAnsi="Trebuchet MS" w:cs="Arial"/>
          <w:color w:val="1F4E79" w:themeColor="accent1" w:themeShade="80"/>
          <w:sz w:val="20"/>
          <w:szCs w:val="20"/>
          <w:lang w:val="en-GB"/>
        </w:rPr>
        <w:t xml:space="preserve"> VI-A Romania-Bulgaria Programme;</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The project proposal is in line with the relevant EU legislation, Programme rules and - where relevant - national legislation and policies of the countries involved. In particular all necessary approvals and permissions have been or will be obtained;</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In the event that the project proposal is approved for funding, I acknowledge that Programme authorities shall publish the name and address of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the main contents of the project proposal (title, project focus), the amount awarded and the rate of funding according to Article 49(3) of Regulation (EU) 2021/1060.</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and all persons representing it in the project, </w:t>
      </w:r>
      <w:r>
        <w:rPr>
          <w:rFonts w:ascii="Trebuchet MS" w:hAnsi="Trebuchet MS" w:cs="Arial"/>
          <w:color w:val="1F4E79" w:themeColor="accent1" w:themeShade="80"/>
          <w:sz w:val="20"/>
          <w:szCs w:val="20"/>
          <w:lang w:val="en-GB"/>
        </w:rPr>
        <w:t>are</w:t>
      </w:r>
      <w:r w:rsidRPr="001F6867">
        <w:rPr>
          <w:rFonts w:ascii="Trebuchet MS" w:hAnsi="Trebuchet MS" w:cs="Arial"/>
          <w:color w:val="1F4E79" w:themeColor="accent1" w:themeShade="80"/>
          <w:sz w:val="20"/>
          <w:szCs w:val="20"/>
          <w:lang w:val="en-GB"/>
        </w:rPr>
        <w:t xml:space="preserve"> familiar with the content of the Interreg </w:t>
      </w:r>
      <w:r>
        <w:rPr>
          <w:rFonts w:ascii="Trebuchet MS" w:hAnsi="Trebuchet MS" w:cs="Arial"/>
          <w:color w:val="1F4E79" w:themeColor="accent1" w:themeShade="80"/>
          <w:sz w:val="20"/>
          <w:szCs w:val="20"/>
          <w:lang w:val="en-GB"/>
        </w:rPr>
        <w:t>VI-A Romania-Bulgaria</w:t>
      </w:r>
      <w:r w:rsidRPr="001F6867">
        <w:rPr>
          <w:rFonts w:ascii="Trebuchet MS" w:hAnsi="Trebuchet MS" w:cs="Arial"/>
          <w:color w:val="1F4E79" w:themeColor="accent1" w:themeShade="80"/>
          <w:sz w:val="20"/>
          <w:szCs w:val="20"/>
          <w:lang w:val="en-GB"/>
        </w:rPr>
        <w:t xml:space="preserve"> Programme as well as with the conditions for support from the Programme as set in the </w:t>
      </w:r>
      <w:r>
        <w:rPr>
          <w:rFonts w:ascii="Trebuchet MS" w:hAnsi="Trebuchet MS" w:cs="Arial"/>
          <w:color w:val="1F4E79" w:themeColor="accent1" w:themeShade="80"/>
          <w:sz w:val="20"/>
          <w:szCs w:val="20"/>
          <w:lang w:val="en-GB"/>
        </w:rPr>
        <w:t>Applicant’</w:t>
      </w:r>
      <w:r>
        <w:rPr>
          <w:rFonts w:ascii="Trebuchet MS" w:hAnsi="Trebuchet MS" w:cs="Arial"/>
          <w:color w:val="1F4E79" w:themeColor="accent1" w:themeShade="80"/>
          <w:sz w:val="20"/>
          <w:szCs w:val="20"/>
          <w:lang w:val="en-US"/>
        </w:rPr>
        <w:t>s guide</w:t>
      </w:r>
      <w:r w:rsidRPr="001F6867">
        <w:rPr>
          <w:rFonts w:ascii="Trebuchet MS" w:hAnsi="Trebuchet MS" w:cs="Arial"/>
          <w:color w:val="1F4E79" w:themeColor="accent1" w:themeShade="80"/>
          <w:sz w:val="20"/>
          <w:szCs w:val="20"/>
          <w:lang w:val="en-GB"/>
        </w:rPr>
        <w:t xml:space="preserve"> for the call and in the model of the subsidy contract, and </w:t>
      </w:r>
      <w:r w:rsidRPr="001F6867">
        <w:rPr>
          <w:rFonts w:ascii="Trebuchet MS" w:hAnsi="Trebuchet MS" w:cs="Arial"/>
          <w:color w:val="1F4E79" w:themeColor="accent1" w:themeShade="80"/>
          <w:sz w:val="20"/>
          <w:szCs w:val="20"/>
          <w:lang w:val="en-GB"/>
        </w:rPr>
        <w:lastRenderedPageBreak/>
        <w:t xml:space="preserve">understands what its respective obligations will be in case the project proposal is approved and the subsidy is awarded. In particular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in its role of lead partner, is aware </w:t>
      </w:r>
      <w:r w:rsidR="00A3593C">
        <w:rPr>
          <w:rFonts w:ascii="Trebuchet MS" w:hAnsi="Trebuchet MS" w:cs="Arial"/>
          <w:color w:val="1F4E79" w:themeColor="accent1" w:themeShade="80"/>
          <w:sz w:val="20"/>
          <w:szCs w:val="20"/>
          <w:lang w:val="en-GB"/>
        </w:rPr>
        <w:t>of the</w:t>
      </w:r>
      <w:r w:rsidRPr="001F6867">
        <w:rPr>
          <w:rFonts w:ascii="Trebuchet MS" w:hAnsi="Trebuchet MS" w:cs="Arial"/>
          <w:color w:val="1F4E79" w:themeColor="accent1" w:themeShade="80"/>
          <w:sz w:val="20"/>
          <w:szCs w:val="20"/>
          <w:lang w:val="en-GB"/>
        </w:rPr>
        <w:t>:</w:t>
      </w:r>
    </w:p>
    <w:p w:rsidR="00A3593C" w:rsidRDefault="00A3593C" w:rsidP="00A3593C">
      <w:pPr>
        <w:pStyle w:val="ListParagraph"/>
        <w:numPr>
          <w:ilvl w:val="0"/>
          <w:numId w:val="1"/>
        </w:numPr>
        <w:spacing w:before="60" w:after="0" w:line="240" w:lineRule="auto"/>
        <w:jc w:val="both"/>
        <w:rPr>
          <w:rFonts w:ascii="Trebuchet MS" w:hAnsi="Trebuchet MS" w:cs="Arial"/>
          <w:color w:val="1F4E79" w:themeColor="accent1" w:themeShade="80"/>
          <w:sz w:val="20"/>
          <w:szCs w:val="20"/>
          <w:lang w:val="en-GB"/>
        </w:rPr>
      </w:pPr>
      <w:r w:rsidRPr="00A3593C">
        <w:rPr>
          <w:rFonts w:ascii="Trebuchet MS" w:hAnsi="Trebuchet MS" w:cs="Arial"/>
          <w:color w:val="1F4E79" w:themeColor="accent1" w:themeShade="80"/>
          <w:sz w:val="20"/>
          <w:szCs w:val="20"/>
          <w:lang w:val="en-GB"/>
        </w:rPr>
        <w:t>Obligation to accept all obligations as a project partner deriving from the subsidy contract, which will be signed by the lead partner of the project after the approval;</w:t>
      </w:r>
    </w:p>
    <w:p w:rsidR="00A3593C" w:rsidRPr="00A3593C" w:rsidRDefault="00A3593C" w:rsidP="00A3593C">
      <w:pPr>
        <w:pStyle w:val="ListParagraph"/>
        <w:numPr>
          <w:ilvl w:val="0"/>
          <w:numId w:val="1"/>
        </w:numPr>
        <w:spacing w:before="60" w:after="0" w:line="240" w:lineRule="auto"/>
        <w:jc w:val="both"/>
        <w:rPr>
          <w:rFonts w:ascii="Trebuchet MS" w:hAnsi="Trebuchet MS" w:cs="Arial"/>
          <w:color w:val="1F4E79" w:themeColor="accent1" w:themeShade="80"/>
          <w:sz w:val="20"/>
          <w:szCs w:val="20"/>
          <w:lang w:val="en-GB"/>
        </w:rPr>
      </w:pPr>
      <w:r w:rsidRPr="00A3593C">
        <w:rPr>
          <w:rFonts w:ascii="Trebuchet MS" w:hAnsi="Trebuchet MS" w:cs="Arial"/>
          <w:color w:val="1F4E79" w:themeColor="accent1" w:themeShade="80"/>
          <w:sz w:val="20"/>
          <w:szCs w:val="20"/>
          <w:lang w:val="en-GB"/>
        </w:rPr>
        <w:t>Obligation to accept all obligations as a project partner deriving from the project partnership agreement which will be concluded between all partners participating in the project</w:t>
      </w:r>
      <w:r w:rsidR="001B56DB">
        <w:rPr>
          <w:rFonts w:ascii="Trebuchet MS" w:hAnsi="Trebuchet MS" w:cs="Arial"/>
          <w:color w:val="1F4E79" w:themeColor="accent1" w:themeShade="80"/>
          <w:sz w:val="20"/>
          <w:szCs w:val="20"/>
          <w:lang w:val="en-GB"/>
        </w:rPr>
        <w:t>.</w:t>
      </w:r>
    </w:p>
    <w:p w:rsidR="001B56DB" w:rsidRPr="001B56DB" w:rsidRDefault="001B56DB" w:rsidP="001B56DB">
      <w:pPr>
        <w:pStyle w:val="ListParagraph"/>
        <w:numPr>
          <w:ilvl w:val="0"/>
          <w:numId w:val="2"/>
        </w:numPr>
        <w:rPr>
          <w:rFonts w:ascii="Trebuchet MS" w:hAnsi="Trebuchet MS" w:cs="Arial"/>
          <w:color w:val="1F4E79" w:themeColor="accent1" w:themeShade="80"/>
          <w:sz w:val="20"/>
          <w:szCs w:val="20"/>
          <w:lang w:val="en-GB"/>
        </w:rPr>
      </w:pPr>
      <w:r w:rsidRPr="001B56DB">
        <w:rPr>
          <w:rFonts w:ascii="Trebuchet MS" w:hAnsi="Trebuchet MS" w:cs="Arial"/>
          <w:color w:val="1F4E79" w:themeColor="accent1" w:themeShade="80"/>
          <w:sz w:val="20"/>
          <w:szCs w:val="20"/>
          <w:lang w:val="en-GB"/>
        </w:rPr>
        <w:t xml:space="preserve">My institution commits itself in complying with the relevant public procurement rules (internal, national, European and programme specific rules if existing) and in making the results available to the public. </w:t>
      </w:r>
    </w:p>
    <w:p w:rsidR="006E4EF7" w:rsidRPr="006E4EF7" w:rsidRDefault="006E4EF7" w:rsidP="006E4EF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6E4EF7">
        <w:rPr>
          <w:rFonts w:ascii="Trebuchet MS" w:hAnsi="Trebuchet MS" w:cs="Arial"/>
          <w:color w:val="1F4E79" w:themeColor="accent1" w:themeShade="80"/>
          <w:sz w:val="20"/>
          <w:szCs w:val="20"/>
          <w:lang w:val="en-GB"/>
        </w:rPr>
        <w:t xml:space="preserve">VAT </w:t>
      </w:r>
      <w:r w:rsidR="00A3593C" w:rsidRPr="006E4EF7">
        <w:rPr>
          <w:rFonts w:ascii="Trebuchet MS" w:hAnsi="Trebuchet MS" w:cs="Arial"/>
          <w:color w:val="1F4E79" w:themeColor="accent1" w:themeShade="80"/>
          <w:sz w:val="20"/>
          <w:szCs w:val="20"/>
          <w:lang w:val="en-GB"/>
        </w:rPr>
        <w:t xml:space="preserve">statement </w:t>
      </w:r>
    </w:p>
    <w:p w:rsidR="006E4EF7" w:rsidRDefault="006E4EF7" w:rsidP="006E4EF7">
      <w:pPr>
        <w:spacing w:before="60" w:after="0" w:line="240" w:lineRule="auto"/>
        <w:ind w:left="720" w:hanging="360"/>
        <w:jc w:val="both"/>
        <w:rPr>
          <w:rFonts w:ascii="Trebuchet MS" w:hAnsi="Trebuchet MS" w:cs="Arial"/>
          <w:color w:val="1F4E79" w:themeColor="accent1" w:themeShade="80"/>
          <w:sz w:val="20"/>
          <w:szCs w:val="20"/>
          <w:lang w:val="en-GB"/>
        </w:rPr>
      </w:pPr>
      <w:r w:rsidRPr="00623F4D">
        <w:rPr>
          <w:rFonts w:ascii="Franklin Gothic Book" w:hAnsi="Franklin Gothic Book" w:cs="Tahoma"/>
          <w:color w:val="000000"/>
        </w:rPr>
        <w:fldChar w:fldCharType="begin">
          <w:ffData>
            <w:name w:val="Check1"/>
            <w:enabled/>
            <w:calcOnExit w:val="0"/>
            <w:checkBox>
              <w:sizeAuto/>
              <w:default w:val="0"/>
            </w:checkBox>
          </w:ffData>
        </w:fldChar>
      </w:r>
      <w:r w:rsidRPr="00623F4D">
        <w:rPr>
          <w:rFonts w:ascii="Franklin Gothic Book" w:hAnsi="Franklin Gothic Book" w:cs="Tahoma"/>
          <w:color w:val="000000"/>
        </w:rPr>
        <w:instrText xml:space="preserve"> FORMCHECKBOX </w:instrText>
      </w:r>
      <w:r w:rsidR="004D4008">
        <w:rPr>
          <w:rFonts w:ascii="Franklin Gothic Book" w:hAnsi="Franklin Gothic Book" w:cs="Tahoma"/>
          <w:color w:val="000000"/>
        </w:rPr>
      </w:r>
      <w:r w:rsidR="004D4008">
        <w:rPr>
          <w:rFonts w:ascii="Franklin Gothic Book" w:hAnsi="Franklin Gothic Book" w:cs="Tahoma"/>
          <w:color w:val="000000"/>
        </w:rPr>
        <w:fldChar w:fldCharType="separate"/>
      </w:r>
      <w:r w:rsidRPr="00623F4D">
        <w:rPr>
          <w:rFonts w:ascii="Franklin Gothic Book" w:hAnsi="Franklin Gothic Book" w:cs="Tahoma"/>
          <w:color w:val="000000"/>
        </w:rPr>
        <w:fldChar w:fldCharType="end"/>
      </w:r>
      <w:r w:rsidRPr="00623F4D">
        <w:rPr>
          <w:rFonts w:ascii="Franklin Gothic Book" w:hAnsi="Franklin Gothic Book" w:cs="Tahoma"/>
          <w:color w:val="000000"/>
        </w:rPr>
        <w:t xml:space="preserve">  </w:t>
      </w:r>
      <w:proofErr w:type="gramStart"/>
      <w:r w:rsidRPr="006E4EF7">
        <w:rPr>
          <w:rFonts w:ascii="Trebuchet MS" w:hAnsi="Trebuchet MS" w:cs="Arial"/>
          <w:color w:val="1F4E79" w:themeColor="accent1" w:themeShade="80"/>
          <w:sz w:val="20"/>
          <w:szCs w:val="20"/>
          <w:lang w:val="en-GB"/>
        </w:rPr>
        <w:t>declares</w:t>
      </w:r>
      <w:proofErr w:type="gramEnd"/>
      <w:r w:rsidRPr="006E4EF7">
        <w:rPr>
          <w:rFonts w:ascii="Trebuchet MS" w:hAnsi="Trebuchet MS" w:cs="Arial"/>
          <w:color w:val="1F4E79" w:themeColor="accent1" w:themeShade="80"/>
          <w:sz w:val="20"/>
          <w:szCs w:val="20"/>
          <w:lang w:val="en-GB"/>
        </w:rPr>
        <w:t xml:space="preserve"> that recoverable VAT is not included in the partner budget and is aware that recoverable VAT will not be eligible for reimbursement </w:t>
      </w:r>
    </w:p>
    <w:p w:rsidR="006E4EF7" w:rsidRDefault="006E4EF7" w:rsidP="006E4EF7">
      <w:pPr>
        <w:spacing w:before="60" w:after="0" w:line="240" w:lineRule="auto"/>
        <w:ind w:left="720" w:hanging="360"/>
        <w:jc w:val="both"/>
        <w:rPr>
          <w:rFonts w:ascii="Trebuchet MS" w:hAnsi="Trebuchet MS" w:cs="Arial"/>
          <w:color w:val="1F4E79" w:themeColor="accent1" w:themeShade="80"/>
          <w:sz w:val="20"/>
          <w:szCs w:val="20"/>
          <w:lang w:val="en-GB"/>
        </w:rPr>
      </w:pPr>
    </w:p>
    <w:p w:rsidR="006E4EF7" w:rsidRPr="00861772" w:rsidRDefault="006E4EF7" w:rsidP="00861772">
      <w:pPr>
        <w:spacing w:before="60" w:after="0" w:line="240" w:lineRule="auto"/>
        <w:ind w:left="720" w:hanging="360"/>
        <w:jc w:val="both"/>
        <w:rPr>
          <w:rFonts w:ascii="Trebuchet MS" w:hAnsi="Trebuchet MS" w:cs="Arial"/>
          <w:color w:val="1F4E79" w:themeColor="accent1" w:themeShade="80"/>
          <w:sz w:val="20"/>
          <w:szCs w:val="20"/>
          <w:lang w:val="en-GB"/>
        </w:rPr>
      </w:pPr>
      <w:r w:rsidRPr="00623F4D">
        <w:rPr>
          <w:rFonts w:ascii="Franklin Gothic Book" w:hAnsi="Franklin Gothic Book" w:cs="Tahoma"/>
          <w:color w:val="000000"/>
        </w:rPr>
        <w:fldChar w:fldCharType="begin">
          <w:ffData>
            <w:name w:val="Check1"/>
            <w:enabled/>
            <w:calcOnExit w:val="0"/>
            <w:checkBox>
              <w:sizeAuto/>
              <w:default w:val="0"/>
            </w:checkBox>
          </w:ffData>
        </w:fldChar>
      </w:r>
      <w:r w:rsidRPr="00623F4D">
        <w:rPr>
          <w:rFonts w:ascii="Franklin Gothic Book" w:hAnsi="Franklin Gothic Book" w:cs="Tahoma"/>
          <w:color w:val="000000"/>
        </w:rPr>
        <w:instrText xml:space="preserve"> FORMCHECKBOX </w:instrText>
      </w:r>
      <w:r w:rsidR="004D4008">
        <w:rPr>
          <w:rFonts w:ascii="Franklin Gothic Book" w:hAnsi="Franklin Gothic Book" w:cs="Tahoma"/>
          <w:color w:val="000000"/>
        </w:rPr>
      </w:r>
      <w:r w:rsidR="004D4008">
        <w:rPr>
          <w:rFonts w:ascii="Franklin Gothic Book" w:hAnsi="Franklin Gothic Book" w:cs="Tahoma"/>
          <w:color w:val="000000"/>
        </w:rPr>
        <w:fldChar w:fldCharType="separate"/>
      </w:r>
      <w:r w:rsidRPr="00623F4D">
        <w:rPr>
          <w:rFonts w:ascii="Franklin Gothic Book" w:hAnsi="Franklin Gothic Book" w:cs="Tahoma"/>
          <w:color w:val="000000"/>
        </w:rPr>
        <w:fldChar w:fldCharType="end"/>
      </w:r>
      <w:r w:rsidRPr="00623F4D">
        <w:rPr>
          <w:rFonts w:ascii="Franklin Gothic Book" w:hAnsi="Franklin Gothic Book" w:cs="Tahoma"/>
          <w:color w:val="000000"/>
        </w:rPr>
        <w:t xml:space="preserve">  </w:t>
      </w:r>
      <w:proofErr w:type="gramStart"/>
      <w:r w:rsidRPr="006E4EF7">
        <w:rPr>
          <w:rFonts w:ascii="Trebuchet MS" w:hAnsi="Trebuchet MS" w:cs="Arial"/>
          <w:color w:val="1F4E79" w:themeColor="accent1" w:themeShade="80"/>
          <w:sz w:val="20"/>
          <w:szCs w:val="20"/>
          <w:lang w:val="en-GB"/>
        </w:rPr>
        <w:t>declares</w:t>
      </w:r>
      <w:proofErr w:type="gramEnd"/>
      <w:r w:rsidRPr="006E4EF7">
        <w:rPr>
          <w:rFonts w:ascii="Trebuchet MS" w:hAnsi="Trebuchet MS" w:cs="Arial"/>
          <w:color w:val="1F4E79" w:themeColor="accent1" w:themeShade="80"/>
          <w:sz w:val="20"/>
          <w:szCs w:val="20"/>
          <w:lang w:val="en-GB"/>
        </w:rPr>
        <w:t xml:space="preserve"> that VAT can be partially recovered in our organisation and that the recoverable part is not included in the partner budget as it is not eligible for reimbursement. </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In case that, after the date of signing this declaration,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is no longer in the position to fulfil any of the requirements listed above, it will inform the </w:t>
      </w:r>
      <w:r>
        <w:rPr>
          <w:rFonts w:ascii="Trebuchet MS" w:hAnsi="Trebuchet MS" w:cs="Arial"/>
          <w:color w:val="1F4E79" w:themeColor="accent1" w:themeShade="80"/>
          <w:sz w:val="20"/>
          <w:szCs w:val="20"/>
          <w:lang w:val="en-GB"/>
        </w:rPr>
        <w:t>Interreg VI-A Romania-Bulgaria</w:t>
      </w:r>
      <w:r w:rsidRPr="001F6867">
        <w:rPr>
          <w:rFonts w:ascii="Trebuchet MS" w:hAnsi="Trebuchet MS" w:cs="Arial"/>
          <w:color w:val="1F4E79" w:themeColor="accent1" w:themeShade="80"/>
          <w:sz w:val="20"/>
          <w:szCs w:val="20"/>
          <w:lang w:val="en-GB"/>
        </w:rPr>
        <w:t xml:space="preserve"> Managing Authority without delay.</w:t>
      </w: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I acknowledge that untruthful/false declarations, in addition to the administrative sanctions and the request for refunding unduly received contribution charged with the interests, can also be prosecuted by the penal code.</w:t>
      </w:r>
    </w:p>
    <w:p w:rsidR="00EF02E1" w:rsidRPr="001F6867" w:rsidRDefault="00EF02E1" w:rsidP="00EF02E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I acknowledge the provisions of the Applicant</w:t>
      </w:r>
      <w:r>
        <w:rPr>
          <w:rFonts w:ascii="Trebuchet MS" w:hAnsi="Trebuchet MS" w:cs="Arial"/>
          <w:color w:val="1F4E79" w:themeColor="accent1" w:themeShade="80"/>
          <w:sz w:val="20"/>
          <w:szCs w:val="20"/>
          <w:lang w:val="en-US"/>
        </w:rPr>
        <w:t xml:space="preserve">’s Package and the fact that the Monitoring Committee is responsible with project selection in compliance with the EU regulation and in the </w:t>
      </w:r>
      <w:proofErr w:type="spellStart"/>
      <w:r>
        <w:rPr>
          <w:rFonts w:ascii="Trebuchet MS" w:hAnsi="Trebuchet MS" w:cs="Arial"/>
          <w:color w:val="1F4E79" w:themeColor="accent1" w:themeShade="80"/>
          <w:sz w:val="20"/>
          <w:szCs w:val="20"/>
          <w:lang w:val="en-US"/>
        </w:rPr>
        <w:t>Programme</w:t>
      </w:r>
      <w:proofErr w:type="spellEnd"/>
      <w:r>
        <w:rPr>
          <w:rFonts w:ascii="Trebuchet MS" w:hAnsi="Trebuchet MS" w:cs="Arial"/>
          <w:color w:val="1F4E79" w:themeColor="accent1" w:themeShade="80"/>
          <w:sz w:val="20"/>
          <w:szCs w:val="20"/>
          <w:lang w:val="en-US"/>
        </w:rPr>
        <w:t xml:space="preserve"> benefit</w:t>
      </w:r>
      <w:r w:rsidRPr="007F1F2B">
        <w:rPr>
          <w:rFonts w:ascii="Trebuchet MS" w:hAnsi="Trebuchet MS" w:cs="Arial"/>
          <w:color w:val="1F4E79" w:themeColor="accent1" w:themeShade="80"/>
          <w:sz w:val="20"/>
          <w:szCs w:val="20"/>
          <w:lang w:val="en-GB"/>
        </w:rPr>
        <w:t>, and with the decisions related to the complaints.</w:t>
      </w:r>
      <w:r>
        <w:rPr>
          <w:rFonts w:ascii="Trebuchet MS" w:hAnsi="Trebuchet MS" w:cs="Arial"/>
          <w:color w:val="1F4E79" w:themeColor="accent1" w:themeShade="80"/>
          <w:sz w:val="20"/>
          <w:szCs w:val="20"/>
          <w:lang w:val="en-US"/>
        </w:rPr>
        <w:t xml:space="preserve">  </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Place/date: </w:t>
      </w: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Signature(s):</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_______________________________________________________</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Name(</w:t>
      </w:r>
      <w:r w:rsidR="00861772">
        <w:rPr>
          <w:rFonts w:ascii="Trebuchet MS" w:hAnsi="Trebuchet MS" w:cs="Arial"/>
          <w:color w:val="1F4E79" w:themeColor="accent1" w:themeShade="80"/>
          <w:sz w:val="20"/>
          <w:szCs w:val="20"/>
          <w:lang w:val="en-GB"/>
        </w:rPr>
        <w:t xml:space="preserve">s) and status of </w:t>
      </w:r>
      <w:proofErr w:type="gramStart"/>
      <w:r w:rsidR="00861772">
        <w:rPr>
          <w:rFonts w:ascii="Trebuchet MS" w:hAnsi="Trebuchet MS" w:cs="Arial"/>
          <w:color w:val="1F4E79" w:themeColor="accent1" w:themeShade="80"/>
          <w:sz w:val="20"/>
          <w:szCs w:val="20"/>
          <w:lang w:val="en-GB"/>
        </w:rPr>
        <w:t>signatory(</w:t>
      </w:r>
      <w:proofErr w:type="spellStart"/>
      <w:proofErr w:type="gramEnd"/>
      <w:r w:rsidR="00861772">
        <w:rPr>
          <w:rFonts w:ascii="Trebuchet MS" w:hAnsi="Trebuchet MS" w:cs="Arial"/>
          <w:color w:val="1F4E79" w:themeColor="accent1" w:themeShade="80"/>
          <w:sz w:val="20"/>
          <w:szCs w:val="20"/>
          <w:lang w:val="en-GB"/>
        </w:rPr>
        <w:t>ies</w:t>
      </w:r>
      <w:proofErr w:type="spellEnd"/>
      <w:r w:rsidR="00861772">
        <w:rPr>
          <w:rFonts w:ascii="Trebuchet MS" w:hAnsi="Trebuchet MS" w:cs="Arial"/>
          <w:color w:val="1F4E79" w:themeColor="accent1" w:themeShade="80"/>
          <w:sz w:val="20"/>
          <w:szCs w:val="20"/>
          <w:lang w:val="en-GB"/>
        </w:rPr>
        <w:t>)</w:t>
      </w:r>
      <w:r w:rsidRPr="001F6867">
        <w:rPr>
          <w:rFonts w:ascii="Trebuchet MS" w:hAnsi="Trebuchet MS" w:cs="Arial"/>
          <w:color w:val="1F4E79" w:themeColor="accent1" w:themeShade="80"/>
          <w:sz w:val="20"/>
          <w:szCs w:val="20"/>
          <w:lang w:val="en-GB"/>
        </w:rPr>
        <w:t xml:space="preserve">(Legal representative): </w:t>
      </w: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pPr>
        <w:rPr>
          <w:color w:val="1F4E79" w:themeColor="accent1" w:themeShade="80"/>
        </w:rPr>
      </w:pPr>
    </w:p>
    <w:sectPr w:rsidR="001F6867" w:rsidRPr="001F6867" w:rsidSect="001F6867">
      <w:headerReference w:type="default" r:id="rId7"/>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1F6867">
    <w:pPr>
      <w:pStyle w:val="Header"/>
    </w:pPr>
    <w:r>
      <w:rPr>
        <w:noProof/>
        <w:lang w:val="en-US"/>
      </w:rPr>
      <w:drawing>
        <wp:inline distT="0" distB="0" distL="0" distR="0" wp14:anchorId="4516A58C">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1E2F3AD4"/>
    <w:multiLevelType w:val="hybridMultilevel"/>
    <w:tmpl w:val="4170B00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2165B51"/>
    <w:multiLevelType w:val="hybridMultilevel"/>
    <w:tmpl w:val="A372ECB8"/>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D6ACFB54">
      <w:numFmt w:val="decimal"/>
      <w:lvlText w:val="%3"/>
      <w:lvlJc w:val="left"/>
      <w:pPr>
        <w:ind w:left="2040" w:hanging="420"/>
      </w:pPr>
      <w:rPr>
        <w:rFonts w:hint="default"/>
      </w:r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85A6C"/>
    <w:rsid w:val="00103AB6"/>
    <w:rsid w:val="00160981"/>
    <w:rsid w:val="001B56DB"/>
    <w:rsid w:val="001D309B"/>
    <w:rsid w:val="001F6867"/>
    <w:rsid w:val="00455928"/>
    <w:rsid w:val="004B06D2"/>
    <w:rsid w:val="004D4008"/>
    <w:rsid w:val="00521CC4"/>
    <w:rsid w:val="005B5F18"/>
    <w:rsid w:val="006E1983"/>
    <w:rsid w:val="006E4EF7"/>
    <w:rsid w:val="006F508F"/>
    <w:rsid w:val="00861772"/>
    <w:rsid w:val="00A250DD"/>
    <w:rsid w:val="00A3593C"/>
    <w:rsid w:val="00A61C1A"/>
    <w:rsid w:val="00A73717"/>
    <w:rsid w:val="00A82308"/>
    <w:rsid w:val="00CE6D32"/>
    <w:rsid w:val="00D50BA2"/>
    <w:rsid w:val="00EF02E1"/>
    <w:rsid w:val="00F44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styleId="BalloonText">
    <w:name w:val="Balloon Text"/>
    <w:basedOn w:val="Normal"/>
    <w:link w:val="BalloonTextChar"/>
    <w:uiPriority w:val="99"/>
    <w:semiHidden/>
    <w:unhideWhenUsed/>
    <w:rsid w:val="00A737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3717"/>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1685</Words>
  <Characters>9609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9</cp:revision>
  <dcterms:created xsi:type="dcterms:W3CDTF">2022-10-17T07:50:00Z</dcterms:created>
  <dcterms:modified xsi:type="dcterms:W3CDTF">2023-01-26T09:24:00Z</dcterms:modified>
</cp:coreProperties>
</file>