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7125AA" w14:textId="0B86A135" w:rsidR="004422F7" w:rsidRPr="00EC14D3" w:rsidRDefault="004422F7" w:rsidP="004422F7">
      <w:pPr>
        <w:spacing w:before="120"/>
        <w:jc w:val="center"/>
        <w:rPr>
          <w:rFonts w:ascii="Trebuchet MS" w:hAnsi="Trebuchet MS"/>
          <w:b/>
          <w:color w:val="0D0D0D"/>
          <w:sz w:val="28"/>
          <w:szCs w:val="28"/>
          <w:lang w:val="en-GB"/>
        </w:rPr>
      </w:pPr>
      <w:r w:rsidRPr="00EC14D3">
        <w:rPr>
          <w:rFonts w:ascii="Trebuchet MS" w:hAnsi="Trebuchet MS"/>
          <w:b/>
          <w:color w:val="0D0D0D"/>
          <w:sz w:val="28"/>
          <w:szCs w:val="28"/>
          <w:lang w:val="en-GB"/>
        </w:rPr>
        <w:t xml:space="preserve">Methodology for using lump sums for project preparation within the </w:t>
      </w:r>
      <w:proofErr w:type="spellStart"/>
      <w:r w:rsidRPr="00EC14D3">
        <w:rPr>
          <w:rFonts w:ascii="Trebuchet MS" w:hAnsi="Trebuchet MS"/>
          <w:b/>
          <w:color w:val="0D0D0D"/>
          <w:sz w:val="28"/>
          <w:szCs w:val="28"/>
          <w:lang w:val="en-GB"/>
        </w:rPr>
        <w:t>Interreg</w:t>
      </w:r>
      <w:proofErr w:type="spellEnd"/>
      <w:r w:rsidRPr="00EC14D3">
        <w:rPr>
          <w:rFonts w:ascii="Trebuchet MS" w:hAnsi="Trebuchet MS"/>
          <w:b/>
          <w:color w:val="0D0D0D"/>
          <w:sz w:val="28"/>
          <w:szCs w:val="28"/>
          <w:lang w:val="en-GB"/>
        </w:rPr>
        <w:t xml:space="preserve"> VI-A Romania-Bulgaria Programme </w:t>
      </w:r>
    </w:p>
    <w:p w14:paraId="552A8D66" w14:textId="77777777" w:rsidR="00305356" w:rsidRPr="00EC14D3" w:rsidRDefault="00305356" w:rsidP="0020544D">
      <w:pPr>
        <w:spacing w:before="120" w:line="360" w:lineRule="auto"/>
        <w:jc w:val="both"/>
        <w:rPr>
          <w:rFonts w:ascii="Trebuchet MS" w:hAnsi="Trebuchet MS"/>
          <w:color w:val="0D0D0D"/>
          <w:sz w:val="24"/>
          <w:szCs w:val="24"/>
          <w:lang w:val="en-GB"/>
        </w:rPr>
      </w:pPr>
    </w:p>
    <w:tbl>
      <w:tblPr>
        <w:tblStyle w:val="TableGrid"/>
        <w:tblW w:w="10065"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8"/>
        <w:gridCol w:w="7797"/>
      </w:tblGrid>
      <w:tr w:rsidR="00D73FD6" w:rsidRPr="00EC14D3" w14:paraId="2E2328E0" w14:textId="77777777" w:rsidTr="00A0651E">
        <w:tc>
          <w:tcPr>
            <w:tcW w:w="2268" w:type="dxa"/>
          </w:tcPr>
          <w:p w14:paraId="44A77DC0" w14:textId="77777777" w:rsidR="00D73FD6" w:rsidRPr="00EC14D3" w:rsidRDefault="00D73FD6" w:rsidP="001063A3">
            <w:pPr>
              <w:spacing w:before="120"/>
              <w:jc w:val="both"/>
              <w:rPr>
                <w:rFonts w:ascii="Trebuchet MS" w:hAnsi="Trebuchet MS"/>
                <w:color w:val="0D0D0D"/>
                <w:sz w:val="24"/>
                <w:szCs w:val="24"/>
                <w:lang w:val="en-GB"/>
              </w:rPr>
            </w:pPr>
          </w:p>
          <w:p w14:paraId="689009DC" w14:textId="77777777" w:rsidR="00D73FD6" w:rsidRPr="00EC14D3" w:rsidRDefault="00D73FD6" w:rsidP="001063A3">
            <w:pPr>
              <w:spacing w:before="120"/>
              <w:jc w:val="both"/>
              <w:rPr>
                <w:rFonts w:ascii="Trebuchet MS" w:hAnsi="Trebuchet MS"/>
                <w:b/>
                <w:color w:val="0D0D0D"/>
                <w:sz w:val="24"/>
                <w:szCs w:val="24"/>
                <w:lang w:val="en-GB"/>
              </w:rPr>
            </w:pPr>
            <w:r w:rsidRPr="00EC14D3">
              <w:rPr>
                <w:rFonts w:ascii="Trebuchet MS" w:hAnsi="Trebuchet MS"/>
                <w:b/>
                <w:color w:val="0D0D0D"/>
                <w:sz w:val="24"/>
                <w:szCs w:val="24"/>
                <w:lang w:val="en-GB"/>
              </w:rPr>
              <w:t>Legal provisions</w:t>
            </w:r>
          </w:p>
          <w:p w14:paraId="78D73853" w14:textId="77777777" w:rsidR="00D73FD6" w:rsidRPr="00EC14D3" w:rsidRDefault="00D73FD6" w:rsidP="001063A3">
            <w:pPr>
              <w:spacing w:before="120"/>
              <w:jc w:val="both"/>
              <w:rPr>
                <w:rFonts w:ascii="Trebuchet MS" w:hAnsi="Trebuchet MS"/>
                <w:color w:val="0D0D0D"/>
                <w:sz w:val="24"/>
                <w:szCs w:val="24"/>
                <w:lang w:val="en-GB"/>
              </w:rPr>
            </w:pPr>
          </w:p>
          <w:p w14:paraId="7398CE92" w14:textId="77777777" w:rsidR="00D73FD6" w:rsidRPr="00EC14D3" w:rsidRDefault="00D73FD6" w:rsidP="001063A3">
            <w:pPr>
              <w:spacing w:before="120"/>
              <w:jc w:val="both"/>
              <w:rPr>
                <w:rFonts w:ascii="Trebuchet MS" w:hAnsi="Trebuchet MS"/>
                <w:color w:val="0D0D0D"/>
                <w:sz w:val="24"/>
                <w:szCs w:val="24"/>
                <w:lang w:val="en-GB"/>
              </w:rPr>
            </w:pPr>
          </w:p>
        </w:tc>
        <w:tc>
          <w:tcPr>
            <w:tcW w:w="7797" w:type="dxa"/>
          </w:tcPr>
          <w:p w14:paraId="4839B225" w14:textId="77777777" w:rsidR="00D73FD6" w:rsidRPr="00EC14D3" w:rsidRDefault="00D73FD6" w:rsidP="001063A3">
            <w:pPr>
              <w:pStyle w:val="ListParagraph"/>
              <w:numPr>
                <w:ilvl w:val="0"/>
                <w:numId w:val="11"/>
              </w:numPr>
              <w:spacing w:before="120"/>
              <w:jc w:val="both"/>
              <w:rPr>
                <w:rFonts w:ascii="Trebuchet MS" w:hAnsi="Trebuchet MS"/>
                <w:i/>
                <w:sz w:val="24"/>
                <w:szCs w:val="24"/>
                <w:lang w:val="en-GB"/>
              </w:rPr>
            </w:pPr>
            <w:r w:rsidRPr="00EC14D3">
              <w:rPr>
                <w:rFonts w:ascii="Trebuchet MS" w:hAnsi="Trebuchet MS"/>
                <w:i/>
                <w:color w:val="0D0D0D"/>
                <w:sz w:val="24"/>
                <w:szCs w:val="24"/>
                <w:lang w:val="en-GB"/>
              </w:rPr>
              <w:t xml:space="preserve">Regulation (EU) no. </w:t>
            </w:r>
            <w:r w:rsidRPr="00EC14D3">
              <w:rPr>
                <w:rFonts w:ascii="Trebuchet MS" w:hAnsi="Trebuchet MS"/>
                <w:i/>
                <w:sz w:val="24"/>
                <w:szCs w:val="24"/>
                <w:lang w:val="en-GB"/>
              </w:rPr>
              <w:t>2021/1060 (Common Provision Regulation)</w:t>
            </w:r>
          </w:p>
          <w:p w14:paraId="68742010" w14:textId="77777777" w:rsidR="00D73FD6" w:rsidRPr="00EC14D3" w:rsidRDefault="00D73FD6" w:rsidP="001063A3">
            <w:pPr>
              <w:pStyle w:val="ListParagraph"/>
              <w:spacing w:before="120"/>
              <w:jc w:val="both"/>
              <w:rPr>
                <w:rFonts w:ascii="Trebuchet MS" w:hAnsi="Trebuchet MS"/>
                <w:i/>
                <w:sz w:val="24"/>
                <w:szCs w:val="24"/>
                <w:lang w:val="en-GB"/>
              </w:rPr>
            </w:pPr>
          </w:p>
          <w:p w14:paraId="49FEF1DC" w14:textId="77777777" w:rsidR="00D73FD6" w:rsidRPr="00EC14D3" w:rsidRDefault="00D73FD6" w:rsidP="001063A3">
            <w:pPr>
              <w:pStyle w:val="ListParagraph"/>
              <w:numPr>
                <w:ilvl w:val="0"/>
                <w:numId w:val="10"/>
              </w:numPr>
              <w:spacing w:before="120"/>
              <w:ind w:firstLine="76"/>
              <w:jc w:val="both"/>
              <w:rPr>
                <w:rFonts w:ascii="Trebuchet MS" w:hAnsi="Trebuchet MS"/>
                <w:sz w:val="24"/>
                <w:szCs w:val="24"/>
                <w:lang w:val="en-GB"/>
              </w:rPr>
            </w:pPr>
            <w:r w:rsidRPr="00EC14D3">
              <w:rPr>
                <w:rFonts w:ascii="Trebuchet MS" w:hAnsi="Trebuchet MS"/>
                <w:sz w:val="24"/>
                <w:szCs w:val="24"/>
                <w:lang w:val="en-GB"/>
              </w:rPr>
              <w:t xml:space="preserve">Art. 53, paragraph 1 c) </w:t>
            </w:r>
            <w:r w:rsidRPr="00EC14D3">
              <w:rPr>
                <w:rFonts w:ascii="Trebuchet MS" w:hAnsi="Trebuchet MS"/>
                <w:color w:val="0D0D0D"/>
                <w:sz w:val="24"/>
                <w:szCs w:val="24"/>
                <w:lang w:val="en-GB"/>
              </w:rPr>
              <w:t>allowing the use of lump sums financing for different categories of costs</w:t>
            </w:r>
            <w:r w:rsidRPr="00EC14D3">
              <w:rPr>
                <w:rFonts w:ascii="Trebuchet MS" w:hAnsi="Trebuchet MS"/>
                <w:sz w:val="24"/>
                <w:szCs w:val="24"/>
                <w:lang w:val="en-GB"/>
              </w:rPr>
              <w:t xml:space="preserve"> </w:t>
            </w:r>
          </w:p>
          <w:p w14:paraId="54915BEA" w14:textId="77777777" w:rsidR="00D73FD6" w:rsidRPr="00EC14D3" w:rsidRDefault="00D73FD6" w:rsidP="001063A3">
            <w:pPr>
              <w:spacing w:before="120"/>
              <w:ind w:firstLine="706"/>
              <w:jc w:val="both"/>
              <w:rPr>
                <w:rFonts w:ascii="Trebuchet MS" w:hAnsi="Trebuchet MS"/>
                <w:i/>
                <w:sz w:val="24"/>
                <w:szCs w:val="24"/>
                <w:lang w:val="en-GB"/>
              </w:rPr>
            </w:pPr>
            <w:r w:rsidRPr="00EC14D3">
              <w:rPr>
                <w:rFonts w:ascii="Trebuchet MS" w:hAnsi="Trebuchet MS"/>
                <w:i/>
                <w:sz w:val="24"/>
                <w:szCs w:val="24"/>
                <w:lang w:val="en-GB"/>
              </w:rPr>
              <w:t>and</w:t>
            </w:r>
          </w:p>
          <w:p w14:paraId="677FF56D" w14:textId="77777777" w:rsidR="00D73FD6" w:rsidRPr="00EC14D3" w:rsidRDefault="00D73FD6" w:rsidP="001063A3">
            <w:pPr>
              <w:pStyle w:val="ListParagraph"/>
              <w:numPr>
                <w:ilvl w:val="0"/>
                <w:numId w:val="10"/>
              </w:numPr>
              <w:spacing w:before="120"/>
              <w:ind w:firstLine="76"/>
              <w:jc w:val="both"/>
              <w:rPr>
                <w:rFonts w:ascii="Trebuchet MS" w:hAnsi="Trebuchet MS"/>
                <w:sz w:val="24"/>
                <w:szCs w:val="24"/>
                <w:lang w:val="en-GB"/>
              </w:rPr>
            </w:pPr>
            <w:r w:rsidRPr="00EC14D3">
              <w:rPr>
                <w:rFonts w:ascii="Trebuchet MS" w:hAnsi="Trebuchet MS"/>
                <w:sz w:val="24"/>
                <w:szCs w:val="24"/>
                <w:lang w:val="en-GB"/>
              </w:rPr>
              <w:t xml:space="preserve">Art. 53, paragraph 3 a) </w:t>
            </w:r>
            <w:r w:rsidRPr="00EC14D3">
              <w:rPr>
                <w:rFonts w:ascii="Trebuchet MS" w:hAnsi="Trebuchet MS"/>
                <w:color w:val="0D0D0D"/>
                <w:sz w:val="24"/>
                <w:szCs w:val="24"/>
                <w:lang w:val="en-GB"/>
              </w:rPr>
              <w:t>indicating that the method for choosing how the simplified cost option applies must be fair, equitable and verifiable and can be based on statistical data, other objective information or an expert judgment or the verified historical data of individual beneficiaries</w:t>
            </w:r>
          </w:p>
          <w:p w14:paraId="32F73323" w14:textId="77777777" w:rsidR="00D73FD6" w:rsidRPr="00EC14D3" w:rsidRDefault="00D73FD6" w:rsidP="001063A3">
            <w:pPr>
              <w:pStyle w:val="ListParagraph"/>
              <w:spacing w:before="120"/>
              <w:ind w:left="796"/>
              <w:jc w:val="both"/>
              <w:rPr>
                <w:rFonts w:ascii="Trebuchet MS" w:hAnsi="Trebuchet MS"/>
                <w:sz w:val="24"/>
                <w:szCs w:val="24"/>
                <w:lang w:val="en-GB"/>
              </w:rPr>
            </w:pPr>
          </w:p>
          <w:p w14:paraId="3FED7ABD" w14:textId="77777777" w:rsidR="00305356" w:rsidRPr="00A0651E" w:rsidRDefault="00D73FD6" w:rsidP="00A0651E">
            <w:pPr>
              <w:pStyle w:val="ListParagraph"/>
              <w:numPr>
                <w:ilvl w:val="0"/>
                <w:numId w:val="11"/>
              </w:numPr>
              <w:spacing w:before="120"/>
              <w:jc w:val="both"/>
              <w:rPr>
                <w:rFonts w:ascii="Trebuchet MS" w:hAnsi="Trebuchet MS"/>
                <w:color w:val="0D0D0D"/>
                <w:sz w:val="24"/>
                <w:szCs w:val="24"/>
                <w:lang w:val="en-GB"/>
              </w:rPr>
            </w:pPr>
            <w:r w:rsidRPr="00EC14D3">
              <w:rPr>
                <w:rFonts w:ascii="Trebuchet MS" w:hAnsi="Trebuchet MS"/>
                <w:i/>
                <w:color w:val="0D0D0D"/>
                <w:sz w:val="24"/>
                <w:szCs w:val="24"/>
                <w:lang w:val="en-GB"/>
              </w:rPr>
              <w:t>Commission Notice Guidelines on the use of Simplified Cost Options within the European Structural and Investment Funds (ESI) – revised version (2021/C 200/01)</w:t>
            </w:r>
          </w:p>
          <w:p w14:paraId="507185B4" w14:textId="26A26AF2" w:rsidR="00A0651E" w:rsidRPr="00A0651E" w:rsidRDefault="00A0651E" w:rsidP="00A0651E">
            <w:pPr>
              <w:pStyle w:val="ListParagraph"/>
              <w:spacing w:before="120"/>
              <w:jc w:val="both"/>
              <w:rPr>
                <w:rFonts w:ascii="Trebuchet MS" w:hAnsi="Trebuchet MS"/>
                <w:color w:val="0D0D0D"/>
                <w:sz w:val="24"/>
                <w:szCs w:val="24"/>
                <w:lang w:val="en-GB"/>
              </w:rPr>
            </w:pPr>
          </w:p>
        </w:tc>
      </w:tr>
      <w:tr w:rsidR="00D73FD6" w:rsidRPr="00EC14D3" w14:paraId="3CB8FCFF" w14:textId="77777777" w:rsidTr="00A0651E">
        <w:tc>
          <w:tcPr>
            <w:tcW w:w="2268" w:type="dxa"/>
          </w:tcPr>
          <w:p w14:paraId="653E336B" w14:textId="5C0F7AF1" w:rsidR="00D73FD6" w:rsidRPr="00EC14D3" w:rsidRDefault="00D73FD6" w:rsidP="001063A3">
            <w:pPr>
              <w:spacing w:before="120"/>
              <w:jc w:val="both"/>
              <w:rPr>
                <w:rFonts w:ascii="Trebuchet MS" w:hAnsi="Trebuchet MS"/>
                <w:b/>
                <w:color w:val="0D0D0D"/>
                <w:sz w:val="24"/>
                <w:szCs w:val="24"/>
                <w:lang w:val="en-GB"/>
              </w:rPr>
            </w:pPr>
            <w:r w:rsidRPr="00EC14D3">
              <w:rPr>
                <w:rFonts w:ascii="Trebuchet MS" w:hAnsi="Trebuchet MS"/>
                <w:b/>
                <w:color w:val="0D0D0D"/>
                <w:sz w:val="24"/>
                <w:szCs w:val="24"/>
                <w:lang w:val="en-GB"/>
              </w:rPr>
              <w:t xml:space="preserve">Lump sum for </w:t>
            </w:r>
            <w:r w:rsidR="004422F7" w:rsidRPr="00EC14D3">
              <w:rPr>
                <w:rFonts w:ascii="Trebuchet MS" w:hAnsi="Trebuchet MS"/>
                <w:b/>
                <w:color w:val="0D0D0D"/>
                <w:sz w:val="24"/>
                <w:szCs w:val="24"/>
                <w:lang w:val="en-GB"/>
              </w:rPr>
              <w:t>preparation</w:t>
            </w:r>
          </w:p>
          <w:p w14:paraId="1E477554" w14:textId="77777777" w:rsidR="00D73FD6" w:rsidRPr="00EC14D3" w:rsidRDefault="00D73FD6" w:rsidP="001063A3">
            <w:pPr>
              <w:spacing w:before="120"/>
              <w:jc w:val="both"/>
              <w:rPr>
                <w:rFonts w:ascii="Trebuchet MS" w:hAnsi="Trebuchet MS"/>
                <w:color w:val="0D0D0D"/>
                <w:sz w:val="24"/>
                <w:szCs w:val="24"/>
                <w:lang w:val="en-GB"/>
              </w:rPr>
            </w:pPr>
          </w:p>
          <w:p w14:paraId="366CC8BF" w14:textId="77777777" w:rsidR="00D73FD6" w:rsidRPr="00EC14D3" w:rsidRDefault="00D73FD6" w:rsidP="001063A3">
            <w:pPr>
              <w:spacing w:before="120"/>
              <w:jc w:val="both"/>
              <w:rPr>
                <w:rFonts w:ascii="Trebuchet MS" w:hAnsi="Trebuchet MS"/>
                <w:color w:val="0D0D0D"/>
                <w:sz w:val="24"/>
                <w:szCs w:val="24"/>
                <w:lang w:val="en-GB"/>
              </w:rPr>
            </w:pPr>
          </w:p>
          <w:p w14:paraId="065E07D4" w14:textId="77777777" w:rsidR="00D73FD6" w:rsidRPr="00EC14D3" w:rsidRDefault="00D73FD6" w:rsidP="001063A3">
            <w:pPr>
              <w:spacing w:before="120"/>
              <w:jc w:val="both"/>
              <w:rPr>
                <w:rFonts w:ascii="Trebuchet MS" w:hAnsi="Trebuchet MS"/>
                <w:color w:val="0D0D0D"/>
                <w:sz w:val="24"/>
                <w:szCs w:val="24"/>
                <w:lang w:val="en-GB"/>
              </w:rPr>
            </w:pPr>
          </w:p>
        </w:tc>
        <w:tc>
          <w:tcPr>
            <w:tcW w:w="7797" w:type="dxa"/>
          </w:tcPr>
          <w:p w14:paraId="3D7A35EE" w14:textId="1A76A7A7" w:rsidR="00FC6FA0" w:rsidRPr="00EC14D3" w:rsidRDefault="004422F7" w:rsidP="004422F7">
            <w:pPr>
              <w:spacing w:before="120" w:after="120"/>
              <w:jc w:val="both"/>
              <w:rPr>
                <w:rFonts w:ascii="Trebuchet MS" w:hAnsi="Trebuchet MS"/>
                <w:color w:val="0D0D0D"/>
                <w:sz w:val="24"/>
                <w:szCs w:val="24"/>
                <w:lang w:val="en-GB"/>
              </w:rPr>
            </w:pPr>
            <w:r w:rsidRPr="00EC14D3">
              <w:rPr>
                <w:rFonts w:ascii="Trebuchet MS" w:hAnsi="Trebuchet MS"/>
                <w:color w:val="0D0D0D"/>
                <w:sz w:val="24"/>
                <w:szCs w:val="24"/>
                <w:lang w:val="en-GB"/>
              </w:rPr>
              <w:t xml:space="preserve">The Programme decides to reimburse </w:t>
            </w:r>
            <w:r w:rsidRPr="00EC14D3">
              <w:rPr>
                <w:rFonts w:ascii="Trebuchet MS" w:hAnsi="Trebuchet MS"/>
                <w:b/>
                <w:color w:val="0D0D0D"/>
                <w:sz w:val="24"/>
                <w:szCs w:val="24"/>
                <w:lang w:val="en-GB"/>
              </w:rPr>
              <w:t>project preparation</w:t>
            </w:r>
            <w:r w:rsidRPr="00EC14D3">
              <w:rPr>
                <w:rFonts w:ascii="Trebuchet MS" w:hAnsi="Trebuchet MS"/>
                <w:color w:val="0D0D0D"/>
                <w:sz w:val="24"/>
                <w:szCs w:val="24"/>
                <w:lang w:val="en-GB"/>
              </w:rPr>
              <w:t xml:space="preserve"> expenditure as a </w:t>
            </w:r>
            <w:r w:rsidRPr="00EC14D3">
              <w:rPr>
                <w:rFonts w:ascii="Trebuchet MS" w:hAnsi="Trebuchet MS"/>
                <w:b/>
                <w:color w:val="0D0D0D"/>
                <w:sz w:val="24"/>
                <w:szCs w:val="24"/>
                <w:lang w:val="en-GB"/>
              </w:rPr>
              <w:t>lump sum</w:t>
            </w:r>
            <w:r w:rsidRPr="00EC14D3">
              <w:rPr>
                <w:rFonts w:ascii="Trebuchet MS" w:hAnsi="Trebuchet MS"/>
                <w:color w:val="0D0D0D"/>
                <w:sz w:val="24"/>
                <w:szCs w:val="24"/>
                <w:lang w:val="en-GB"/>
              </w:rPr>
              <w:t xml:space="preserve">, as per the Methodology presented below, for all projects financed via the </w:t>
            </w:r>
            <w:proofErr w:type="spellStart"/>
            <w:r w:rsidRPr="00EC14D3">
              <w:rPr>
                <w:rFonts w:ascii="Trebuchet MS" w:hAnsi="Trebuchet MS"/>
                <w:color w:val="0D0D0D"/>
                <w:sz w:val="24"/>
                <w:szCs w:val="24"/>
                <w:lang w:val="en-GB"/>
              </w:rPr>
              <w:t>Interreg</w:t>
            </w:r>
            <w:proofErr w:type="spellEnd"/>
            <w:r w:rsidRPr="00EC14D3">
              <w:rPr>
                <w:rFonts w:ascii="Trebuchet MS" w:hAnsi="Trebuchet MS"/>
                <w:color w:val="0D0D0D"/>
                <w:sz w:val="24"/>
                <w:szCs w:val="24"/>
                <w:lang w:val="en-GB"/>
              </w:rPr>
              <w:t xml:space="preserve"> VI-A Romania-Bulgaria Programme</w:t>
            </w:r>
            <w:r w:rsidR="00FC6FA0" w:rsidRPr="00EC14D3">
              <w:rPr>
                <w:rFonts w:ascii="Trebuchet MS" w:hAnsi="Trebuchet MS"/>
                <w:color w:val="0D0D0D"/>
                <w:sz w:val="24"/>
                <w:szCs w:val="24"/>
                <w:lang w:val="en-GB"/>
              </w:rPr>
              <w:t xml:space="preserve">. </w:t>
            </w:r>
          </w:p>
          <w:p w14:paraId="394C3C7B" w14:textId="15100233" w:rsidR="004422F7" w:rsidRPr="00EC14D3" w:rsidRDefault="00FC6FA0" w:rsidP="0066293E">
            <w:pPr>
              <w:spacing w:before="120" w:after="120"/>
              <w:jc w:val="both"/>
              <w:rPr>
                <w:color w:val="0D0D0D"/>
                <w:lang w:val="en-GB"/>
              </w:rPr>
            </w:pPr>
            <w:r w:rsidRPr="00EC14D3">
              <w:rPr>
                <w:rFonts w:ascii="Trebuchet MS" w:hAnsi="Trebuchet MS"/>
                <w:color w:val="0D0D0D"/>
                <w:sz w:val="24"/>
                <w:szCs w:val="24"/>
                <w:lang w:val="en-GB"/>
              </w:rPr>
              <w:t xml:space="preserve">The lump sum for project preparation is of </w:t>
            </w:r>
            <w:r w:rsidR="0066293E" w:rsidRPr="00EC14D3">
              <w:rPr>
                <w:rFonts w:ascii="Trebuchet MS" w:hAnsi="Trebuchet MS"/>
                <w:b/>
                <w:color w:val="0D0D0D"/>
                <w:sz w:val="24"/>
                <w:szCs w:val="24"/>
                <w:lang w:val="en-GB"/>
              </w:rPr>
              <w:t xml:space="preserve">14,000 </w:t>
            </w:r>
            <w:r w:rsidRPr="00EC14D3">
              <w:rPr>
                <w:rFonts w:ascii="Trebuchet MS" w:hAnsi="Trebuchet MS"/>
                <w:b/>
                <w:color w:val="0D0D0D"/>
                <w:sz w:val="24"/>
                <w:szCs w:val="24"/>
                <w:lang w:val="en-GB"/>
              </w:rPr>
              <w:t xml:space="preserve">euro </w:t>
            </w:r>
            <w:r w:rsidRPr="00EC14D3">
              <w:rPr>
                <w:rFonts w:ascii="Trebuchet MS" w:hAnsi="Trebuchet MS"/>
                <w:color w:val="0D0D0D"/>
                <w:sz w:val="24"/>
                <w:szCs w:val="24"/>
                <w:lang w:val="en-GB"/>
              </w:rPr>
              <w:t>(total budget).</w:t>
            </w:r>
          </w:p>
        </w:tc>
      </w:tr>
      <w:tr w:rsidR="00D73FD6" w:rsidRPr="00EC14D3" w14:paraId="34298FA7" w14:textId="77777777" w:rsidTr="00A0651E">
        <w:tc>
          <w:tcPr>
            <w:tcW w:w="2268" w:type="dxa"/>
          </w:tcPr>
          <w:p w14:paraId="52E8B66A" w14:textId="1D0116F6" w:rsidR="00D73FD6" w:rsidRPr="00EC14D3" w:rsidRDefault="00D73FD6" w:rsidP="001063A3">
            <w:pPr>
              <w:spacing w:before="120"/>
              <w:jc w:val="both"/>
              <w:rPr>
                <w:rFonts w:ascii="Trebuchet MS" w:hAnsi="Trebuchet MS"/>
                <w:b/>
                <w:color w:val="0D0D0D"/>
                <w:sz w:val="24"/>
                <w:szCs w:val="24"/>
                <w:lang w:val="en-GB"/>
              </w:rPr>
            </w:pPr>
            <w:r w:rsidRPr="00EC14D3">
              <w:rPr>
                <w:rFonts w:ascii="Trebuchet MS" w:hAnsi="Trebuchet MS"/>
                <w:b/>
                <w:color w:val="0D0D0D"/>
                <w:sz w:val="24"/>
                <w:szCs w:val="24"/>
                <w:lang w:val="en-GB"/>
              </w:rPr>
              <w:t xml:space="preserve">What type of expenditure does the lump sum for </w:t>
            </w:r>
            <w:r w:rsidR="00710EAC" w:rsidRPr="00EC14D3">
              <w:rPr>
                <w:rFonts w:ascii="Trebuchet MS" w:hAnsi="Trebuchet MS"/>
                <w:b/>
                <w:color w:val="0D0D0D"/>
                <w:sz w:val="24"/>
                <w:szCs w:val="24"/>
                <w:lang w:val="en-GB"/>
              </w:rPr>
              <w:t>preparation</w:t>
            </w:r>
            <w:r w:rsidRPr="00EC14D3">
              <w:rPr>
                <w:rFonts w:ascii="Trebuchet MS" w:hAnsi="Trebuchet MS"/>
                <w:b/>
                <w:color w:val="0D0D0D"/>
                <w:sz w:val="24"/>
                <w:szCs w:val="24"/>
                <w:lang w:val="en-GB"/>
              </w:rPr>
              <w:t xml:space="preserve"> cover?</w:t>
            </w:r>
          </w:p>
          <w:p w14:paraId="44AAF28C" w14:textId="77777777" w:rsidR="00D73FD6" w:rsidRPr="00EC14D3" w:rsidRDefault="00D73FD6" w:rsidP="001063A3">
            <w:pPr>
              <w:spacing w:before="120"/>
              <w:jc w:val="both"/>
              <w:rPr>
                <w:rFonts w:ascii="Trebuchet MS" w:hAnsi="Trebuchet MS"/>
                <w:color w:val="0D0D0D"/>
                <w:sz w:val="24"/>
                <w:szCs w:val="24"/>
                <w:lang w:val="en-GB"/>
              </w:rPr>
            </w:pPr>
          </w:p>
          <w:p w14:paraId="6D27D03B" w14:textId="37A8F9A3" w:rsidR="00B008FF" w:rsidRDefault="00B008FF" w:rsidP="001063A3">
            <w:pPr>
              <w:spacing w:before="120"/>
              <w:jc w:val="both"/>
              <w:rPr>
                <w:rFonts w:ascii="Trebuchet MS" w:hAnsi="Trebuchet MS"/>
                <w:color w:val="0D0D0D"/>
                <w:sz w:val="24"/>
                <w:szCs w:val="24"/>
                <w:lang w:val="en-GB"/>
              </w:rPr>
            </w:pPr>
          </w:p>
          <w:p w14:paraId="29EAD46B" w14:textId="77777777" w:rsidR="00B008FF" w:rsidRPr="00B008FF" w:rsidRDefault="00B008FF" w:rsidP="00B008FF">
            <w:pPr>
              <w:rPr>
                <w:rFonts w:ascii="Trebuchet MS" w:hAnsi="Trebuchet MS"/>
                <w:sz w:val="24"/>
                <w:szCs w:val="24"/>
                <w:lang w:val="en-GB"/>
              </w:rPr>
            </w:pPr>
          </w:p>
          <w:p w14:paraId="2FDA9F87" w14:textId="77777777" w:rsidR="00B008FF" w:rsidRPr="00B008FF" w:rsidRDefault="00B008FF" w:rsidP="00B008FF">
            <w:pPr>
              <w:rPr>
                <w:rFonts w:ascii="Trebuchet MS" w:hAnsi="Trebuchet MS"/>
                <w:sz w:val="24"/>
                <w:szCs w:val="24"/>
                <w:lang w:val="en-GB"/>
              </w:rPr>
            </w:pPr>
          </w:p>
          <w:p w14:paraId="768E94CD" w14:textId="77777777" w:rsidR="00B008FF" w:rsidRPr="00B008FF" w:rsidRDefault="00B008FF" w:rsidP="00B008FF">
            <w:pPr>
              <w:rPr>
                <w:rFonts w:ascii="Trebuchet MS" w:hAnsi="Trebuchet MS"/>
                <w:sz w:val="24"/>
                <w:szCs w:val="24"/>
                <w:lang w:val="en-GB"/>
              </w:rPr>
            </w:pPr>
          </w:p>
          <w:p w14:paraId="687DA460" w14:textId="56EF78ED" w:rsidR="00B008FF" w:rsidRDefault="00B008FF" w:rsidP="00B008FF">
            <w:pPr>
              <w:rPr>
                <w:rFonts w:ascii="Trebuchet MS" w:hAnsi="Trebuchet MS"/>
                <w:sz w:val="24"/>
                <w:szCs w:val="24"/>
                <w:lang w:val="en-GB"/>
              </w:rPr>
            </w:pPr>
          </w:p>
          <w:p w14:paraId="3BFF1110" w14:textId="77777777" w:rsidR="00D73FD6" w:rsidRPr="00B008FF" w:rsidRDefault="00D73FD6" w:rsidP="00A0651E">
            <w:pPr>
              <w:rPr>
                <w:rFonts w:ascii="Trebuchet MS" w:hAnsi="Trebuchet MS"/>
                <w:sz w:val="24"/>
                <w:szCs w:val="24"/>
                <w:lang w:val="en-GB"/>
              </w:rPr>
            </w:pPr>
          </w:p>
        </w:tc>
        <w:tc>
          <w:tcPr>
            <w:tcW w:w="7797" w:type="dxa"/>
          </w:tcPr>
          <w:p w14:paraId="58651948" w14:textId="148A80AD" w:rsidR="00B008FF" w:rsidRPr="00A0651E" w:rsidRDefault="004422F7" w:rsidP="00A0651E">
            <w:pPr>
              <w:spacing w:before="120" w:after="120"/>
              <w:jc w:val="both"/>
              <w:rPr>
                <w:rFonts w:ascii="Trebuchet MS" w:hAnsi="Trebuchet MS"/>
                <w:color w:val="0D0D0D"/>
                <w:sz w:val="24"/>
                <w:szCs w:val="24"/>
                <w:lang w:val="en-GB"/>
              </w:rPr>
            </w:pPr>
            <w:r w:rsidRPr="00EC14D3">
              <w:rPr>
                <w:rFonts w:ascii="Trebuchet MS" w:hAnsi="Trebuchet MS"/>
                <w:color w:val="0D0D0D"/>
                <w:sz w:val="24"/>
                <w:szCs w:val="24"/>
                <w:lang w:val="en-GB"/>
              </w:rPr>
              <w:t xml:space="preserve">The project preparation lump sum </w:t>
            </w:r>
            <w:r w:rsidR="00FC6FA0" w:rsidRPr="00EC14D3">
              <w:rPr>
                <w:rFonts w:ascii="Trebuchet MS" w:hAnsi="Trebuchet MS"/>
                <w:color w:val="0D0D0D"/>
                <w:sz w:val="24"/>
                <w:szCs w:val="24"/>
                <w:lang w:val="en-GB"/>
              </w:rPr>
              <w:t>covers</w:t>
            </w:r>
            <w:r w:rsidRPr="00EC14D3">
              <w:rPr>
                <w:rFonts w:ascii="Trebuchet MS" w:hAnsi="Trebuchet MS"/>
                <w:color w:val="0D0D0D"/>
                <w:sz w:val="24"/>
                <w:szCs w:val="24"/>
                <w:lang w:val="en-GB"/>
              </w:rPr>
              <w:t xml:space="preserve"> the following types of expenditures:</w:t>
            </w:r>
          </w:p>
          <w:p w14:paraId="665516A6" w14:textId="77777777" w:rsidR="004422F7" w:rsidRPr="00EC14D3" w:rsidRDefault="004422F7" w:rsidP="00A0651E">
            <w:pPr>
              <w:pStyle w:val="Guidelines5"/>
              <w:numPr>
                <w:ilvl w:val="0"/>
                <w:numId w:val="7"/>
              </w:numPr>
              <w:spacing w:before="120" w:after="0"/>
              <w:ind w:left="714" w:hanging="357"/>
              <w:rPr>
                <w:rFonts w:ascii="Trebuchet MS" w:eastAsiaTheme="minorHAnsi" w:hAnsi="Trebuchet MS"/>
                <w:b w:val="0"/>
                <w:noProof w:val="0"/>
                <w:snapToGrid/>
                <w:color w:val="0D0D0D"/>
                <w:szCs w:val="24"/>
                <w:lang w:val="en-GB"/>
              </w:rPr>
            </w:pPr>
            <w:r w:rsidRPr="00EC14D3">
              <w:rPr>
                <w:rFonts w:ascii="Trebuchet MS" w:eastAsiaTheme="minorHAnsi" w:hAnsi="Trebuchet MS"/>
                <w:b w:val="0"/>
                <w:noProof w:val="0"/>
                <w:snapToGrid/>
                <w:color w:val="0D0D0D"/>
                <w:szCs w:val="24"/>
                <w:lang w:val="en-GB"/>
              </w:rPr>
              <w:t>Travel and accommodation costs related to meetings between project beneficiaries during the preparation phase;</w:t>
            </w:r>
          </w:p>
          <w:p w14:paraId="7F45D524" w14:textId="0F49451E" w:rsidR="0001745D" w:rsidRPr="00EC14D3" w:rsidRDefault="004422F7" w:rsidP="00A0651E">
            <w:pPr>
              <w:pStyle w:val="Guidelines5"/>
              <w:numPr>
                <w:ilvl w:val="0"/>
                <w:numId w:val="7"/>
              </w:numPr>
              <w:spacing w:before="120" w:after="0"/>
              <w:ind w:left="714" w:hanging="357"/>
              <w:rPr>
                <w:rFonts w:ascii="Trebuchet MS" w:eastAsia="Trebuchet MS" w:hAnsi="Trebuchet MS"/>
                <w:bCs/>
                <w:iCs/>
                <w:noProof w:val="0"/>
                <w:color w:val="0D0D0D"/>
                <w:szCs w:val="24"/>
                <w:lang w:val="en-GB"/>
              </w:rPr>
            </w:pPr>
            <w:r w:rsidRPr="00EC14D3">
              <w:rPr>
                <w:rFonts w:ascii="Trebuchet MS" w:eastAsiaTheme="minorHAnsi" w:hAnsi="Trebuchet MS"/>
                <w:b w:val="0"/>
                <w:noProof w:val="0"/>
                <w:snapToGrid/>
                <w:color w:val="0D0D0D"/>
                <w:szCs w:val="24"/>
                <w:lang w:val="en-GB"/>
              </w:rPr>
              <w:t xml:space="preserve">External expertise and services </w:t>
            </w:r>
            <w:r w:rsidR="00870D6A" w:rsidRPr="00EC14D3">
              <w:rPr>
                <w:rFonts w:ascii="Trebuchet MS" w:eastAsiaTheme="minorHAnsi" w:hAnsi="Trebuchet MS"/>
                <w:b w:val="0"/>
                <w:noProof w:val="0"/>
                <w:snapToGrid/>
                <w:color w:val="0D0D0D"/>
                <w:szCs w:val="24"/>
                <w:lang w:val="en-GB"/>
              </w:rPr>
              <w:t>for the elaboration of the Application Form</w:t>
            </w:r>
            <w:r w:rsidR="0001745D" w:rsidRPr="00EC14D3">
              <w:rPr>
                <w:rFonts w:ascii="Trebuchet MS" w:eastAsiaTheme="minorHAnsi" w:hAnsi="Trebuchet MS"/>
                <w:b w:val="0"/>
                <w:noProof w:val="0"/>
                <w:snapToGrid/>
                <w:color w:val="0D0D0D"/>
                <w:szCs w:val="24"/>
                <w:lang w:val="en-GB"/>
              </w:rPr>
              <w:t xml:space="preserve"> and the d</w:t>
            </w:r>
            <w:r w:rsidR="0001745D" w:rsidRPr="00EC14D3">
              <w:rPr>
                <w:rFonts w:ascii="Trebuchet MS" w:eastAsia="Trebuchet MS" w:hAnsi="Trebuchet MS"/>
                <w:b w:val="0"/>
                <w:bCs/>
                <w:iCs/>
                <w:noProof w:val="0"/>
                <w:color w:val="0D0D0D"/>
                <w:szCs w:val="24"/>
                <w:lang w:val="en-GB"/>
              </w:rPr>
              <w:t>ocuments mandatory for all applications (foreseen in the Applicant’s Guide, A. Documents mandatory for all applications)</w:t>
            </w:r>
            <w:r w:rsidR="00D962A3" w:rsidRPr="00EC14D3">
              <w:rPr>
                <w:rFonts w:ascii="Trebuchet MS" w:eastAsia="Trebuchet MS" w:hAnsi="Trebuchet MS"/>
                <w:b w:val="0"/>
                <w:bCs/>
                <w:iCs/>
                <w:noProof w:val="0"/>
                <w:color w:val="0D0D0D"/>
                <w:szCs w:val="24"/>
                <w:lang w:val="en-GB"/>
              </w:rPr>
              <w:t>;</w:t>
            </w:r>
          </w:p>
          <w:p w14:paraId="26524AE6" w14:textId="77777777" w:rsidR="004422F7" w:rsidRPr="00EC14D3" w:rsidRDefault="004422F7" w:rsidP="00A0651E">
            <w:pPr>
              <w:pStyle w:val="Guidelines5"/>
              <w:numPr>
                <w:ilvl w:val="0"/>
                <w:numId w:val="7"/>
              </w:numPr>
              <w:spacing w:before="120" w:after="0"/>
              <w:ind w:left="714" w:hanging="357"/>
              <w:rPr>
                <w:rFonts w:ascii="Trebuchet MS" w:eastAsiaTheme="minorHAnsi" w:hAnsi="Trebuchet MS"/>
                <w:b w:val="0"/>
                <w:noProof w:val="0"/>
                <w:snapToGrid/>
                <w:color w:val="0D0D0D"/>
                <w:szCs w:val="24"/>
                <w:lang w:val="en-GB"/>
              </w:rPr>
            </w:pPr>
            <w:r w:rsidRPr="00EC14D3">
              <w:rPr>
                <w:rFonts w:ascii="Trebuchet MS" w:eastAsiaTheme="minorHAnsi" w:hAnsi="Trebuchet MS"/>
                <w:b w:val="0"/>
                <w:noProof w:val="0"/>
                <w:snapToGrid/>
                <w:color w:val="0D0D0D"/>
                <w:szCs w:val="24"/>
                <w:lang w:val="en-GB"/>
              </w:rPr>
              <w:t xml:space="preserve">Office and administrative costs; </w:t>
            </w:r>
          </w:p>
          <w:p w14:paraId="3E10204A" w14:textId="77777777" w:rsidR="004422F7" w:rsidRPr="00EC14D3" w:rsidRDefault="004422F7" w:rsidP="00A0651E">
            <w:pPr>
              <w:pStyle w:val="Guidelines5"/>
              <w:numPr>
                <w:ilvl w:val="0"/>
                <w:numId w:val="7"/>
              </w:numPr>
              <w:spacing w:before="120" w:after="0"/>
              <w:ind w:left="714" w:hanging="357"/>
              <w:rPr>
                <w:rFonts w:ascii="Trebuchet MS" w:eastAsiaTheme="minorHAnsi" w:hAnsi="Trebuchet MS"/>
                <w:b w:val="0"/>
                <w:noProof w:val="0"/>
                <w:snapToGrid/>
                <w:color w:val="0D0D0D"/>
                <w:szCs w:val="24"/>
                <w:lang w:val="en-GB"/>
              </w:rPr>
            </w:pPr>
            <w:r w:rsidRPr="00EC14D3">
              <w:rPr>
                <w:rFonts w:ascii="Trebuchet MS" w:eastAsiaTheme="minorHAnsi" w:hAnsi="Trebuchet MS"/>
                <w:b w:val="0"/>
                <w:noProof w:val="0"/>
                <w:snapToGrid/>
                <w:color w:val="0D0D0D"/>
                <w:szCs w:val="24"/>
                <w:lang w:val="en-GB"/>
              </w:rPr>
              <w:t>Staff costs;</w:t>
            </w:r>
          </w:p>
          <w:p w14:paraId="73D1D5A1" w14:textId="77777777" w:rsidR="00D73FD6" w:rsidRPr="00EC14D3" w:rsidRDefault="004422F7" w:rsidP="00A0651E">
            <w:pPr>
              <w:pStyle w:val="Guidelines5"/>
              <w:numPr>
                <w:ilvl w:val="0"/>
                <w:numId w:val="7"/>
              </w:numPr>
              <w:spacing w:before="120" w:after="0"/>
              <w:ind w:left="714" w:hanging="357"/>
              <w:rPr>
                <w:rFonts w:ascii="Trebuchet MS" w:hAnsi="Trebuchet MS"/>
                <w:noProof w:val="0"/>
                <w:color w:val="0D0D0D"/>
                <w:szCs w:val="24"/>
                <w:lang w:val="en-GB"/>
              </w:rPr>
            </w:pPr>
            <w:r w:rsidRPr="00EC14D3">
              <w:rPr>
                <w:rFonts w:ascii="Trebuchet MS" w:eastAsiaTheme="minorHAnsi" w:hAnsi="Trebuchet MS"/>
                <w:b w:val="0"/>
                <w:noProof w:val="0"/>
                <w:snapToGrid/>
                <w:color w:val="0D0D0D"/>
                <w:szCs w:val="24"/>
                <w:lang w:val="en-GB"/>
              </w:rPr>
              <w:t>Other costs necessary to submit a valid application form.</w:t>
            </w:r>
            <w:r w:rsidR="00D73FD6" w:rsidRPr="00EC14D3">
              <w:rPr>
                <w:rFonts w:ascii="Trebuchet MS" w:hAnsi="Trebuchet MS"/>
                <w:noProof w:val="0"/>
                <w:color w:val="0D0D0D"/>
                <w:szCs w:val="24"/>
                <w:lang w:val="en-GB"/>
              </w:rPr>
              <w:t xml:space="preserve"> </w:t>
            </w:r>
          </w:p>
          <w:p w14:paraId="595BDC91" w14:textId="375AF6DA" w:rsidR="00FE3431" w:rsidRPr="00EC14D3" w:rsidRDefault="00FE3431" w:rsidP="00FE3431">
            <w:pPr>
              <w:pStyle w:val="Guidelines5"/>
              <w:spacing w:before="120" w:after="120"/>
              <w:rPr>
                <w:rFonts w:ascii="Trebuchet MS" w:hAnsi="Trebuchet MS"/>
                <w:noProof w:val="0"/>
                <w:color w:val="0D0D0D"/>
                <w:szCs w:val="24"/>
                <w:lang w:val="en-GB"/>
              </w:rPr>
            </w:pPr>
            <w:r w:rsidRPr="00EC14D3">
              <w:rPr>
                <w:rFonts w:ascii="Trebuchet MS" w:eastAsiaTheme="minorHAnsi" w:hAnsi="Trebuchet MS"/>
                <w:b w:val="0"/>
                <w:noProof w:val="0"/>
                <w:snapToGrid/>
                <w:color w:val="0D0D0D"/>
                <w:szCs w:val="24"/>
                <w:lang w:val="en-GB"/>
              </w:rPr>
              <w:t xml:space="preserve">The lump sum for project preparation covers elaboration of applications for financing, including the annex mandatory for all applications </w:t>
            </w:r>
            <w:r w:rsidR="00D76ABF" w:rsidRPr="00EC14D3">
              <w:rPr>
                <w:rFonts w:ascii="Trebuchet MS" w:eastAsiaTheme="minorHAnsi" w:hAnsi="Trebuchet MS"/>
                <w:b w:val="0"/>
                <w:noProof w:val="0"/>
                <w:snapToGrid/>
                <w:color w:val="0D0D0D"/>
                <w:szCs w:val="24"/>
                <w:lang w:val="en-GB"/>
              </w:rPr>
              <w:t>(</w:t>
            </w:r>
            <w:r w:rsidRPr="00EC14D3">
              <w:rPr>
                <w:rFonts w:ascii="Trebuchet MS" w:eastAsiaTheme="minorHAnsi" w:hAnsi="Trebuchet MS"/>
                <w:b w:val="0"/>
                <w:noProof w:val="0"/>
                <w:snapToGrid/>
                <w:color w:val="0D0D0D"/>
                <w:szCs w:val="24"/>
                <w:lang w:val="en-GB"/>
              </w:rPr>
              <w:t>as listed in A. Documents mandatory for all applications</w:t>
            </w:r>
            <w:r w:rsidR="00E53684" w:rsidRPr="00EC14D3">
              <w:rPr>
                <w:rFonts w:ascii="Trebuchet MS" w:eastAsiaTheme="minorHAnsi" w:hAnsi="Trebuchet MS"/>
                <w:b w:val="0"/>
                <w:noProof w:val="0"/>
                <w:snapToGrid/>
                <w:color w:val="0D0D0D"/>
                <w:szCs w:val="24"/>
                <w:lang w:val="en-GB"/>
              </w:rPr>
              <w:t>, in the Applicant’s guide</w:t>
            </w:r>
            <w:r w:rsidR="00D76ABF" w:rsidRPr="00EC14D3">
              <w:rPr>
                <w:rFonts w:ascii="Trebuchet MS" w:eastAsiaTheme="minorHAnsi" w:hAnsi="Trebuchet MS"/>
                <w:b w:val="0"/>
                <w:noProof w:val="0"/>
                <w:snapToGrid/>
                <w:color w:val="0D0D0D"/>
                <w:szCs w:val="24"/>
                <w:lang w:val="en-GB"/>
              </w:rPr>
              <w:t>)</w:t>
            </w:r>
            <w:r w:rsidRPr="00EC14D3">
              <w:rPr>
                <w:rFonts w:ascii="Trebuchet MS" w:eastAsiaTheme="minorHAnsi" w:hAnsi="Trebuchet MS"/>
                <w:b w:val="0"/>
                <w:noProof w:val="0"/>
                <w:snapToGrid/>
                <w:color w:val="0D0D0D"/>
                <w:szCs w:val="24"/>
                <w:lang w:val="en-GB"/>
              </w:rPr>
              <w:t>.</w:t>
            </w:r>
          </w:p>
        </w:tc>
      </w:tr>
      <w:tr w:rsidR="00D73FD6" w:rsidRPr="00EC14D3" w14:paraId="35C5F754" w14:textId="77777777" w:rsidTr="00A0651E">
        <w:tc>
          <w:tcPr>
            <w:tcW w:w="2268" w:type="dxa"/>
          </w:tcPr>
          <w:p w14:paraId="6857766D" w14:textId="77777777" w:rsidR="00D73FD6" w:rsidRPr="00EC14D3" w:rsidRDefault="00D73FD6" w:rsidP="001063A3">
            <w:pPr>
              <w:spacing w:before="120"/>
              <w:jc w:val="both"/>
              <w:rPr>
                <w:rFonts w:ascii="Trebuchet MS" w:hAnsi="Trebuchet MS"/>
                <w:b/>
                <w:color w:val="0D0D0D"/>
                <w:sz w:val="24"/>
                <w:szCs w:val="24"/>
                <w:lang w:val="en-GB"/>
              </w:rPr>
            </w:pPr>
            <w:r w:rsidRPr="00EC14D3">
              <w:rPr>
                <w:rFonts w:ascii="Trebuchet MS" w:hAnsi="Trebuchet MS"/>
                <w:b/>
                <w:color w:val="0D0D0D"/>
                <w:sz w:val="24"/>
                <w:szCs w:val="24"/>
                <w:lang w:val="en-GB"/>
              </w:rPr>
              <w:lastRenderedPageBreak/>
              <w:t xml:space="preserve">Calculation Method </w:t>
            </w:r>
          </w:p>
          <w:p w14:paraId="7E672722" w14:textId="77777777" w:rsidR="00D73FD6" w:rsidRPr="00EC14D3" w:rsidRDefault="00D73FD6" w:rsidP="001063A3">
            <w:pPr>
              <w:spacing w:before="120"/>
              <w:jc w:val="both"/>
              <w:rPr>
                <w:rFonts w:ascii="Trebuchet MS" w:hAnsi="Trebuchet MS"/>
                <w:b/>
                <w:color w:val="0D0D0D"/>
                <w:sz w:val="24"/>
                <w:szCs w:val="24"/>
                <w:lang w:val="en-GB"/>
              </w:rPr>
            </w:pPr>
          </w:p>
          <w:p w14:paraId="56554700" w14:textId="77777777" w:rsidR="00D73FD6" w:rsidRPr="00EC14D3" w:rsidRDefault="00D73FD6" w:rsidP="001063A3">
            <w:pPr>
              <w:spacing w:before="120"/>
              <w:jc w:val="both"/>
              <w:rPr>
                <w:rFonts w:ascii="Trebuchet MS" w:hAnsi="Trebuchet MS"/>
                <w:color w:val="0D0D0D"/>
                <w:sz w:val="24"/>
                <w:szCs w:val="24"/>
                <w:lang w:val="en-GB"/>
              </w:rPr>
            </w:pPr>
            <w:r w:rsidRPr="00EC14D3">
              <w:rPr>
                <w:rFonts w:ascii="Trebuchet MS" w:hAnsi="Trebuchet MS"/>
                <w:color w:val="0D0D0D"/>
                <w:sz w:val="24"/>
                <w:szCs w:val="24"/>
                <w:lang w:val="en-GB"/>
              </w:rPr>
              <w:t>Fair</w:t>
            </w:r>
          </w:p>
          <w:p w14:paraId="2091AA63" w14:textId="77777777" w:rsidR="00D73FD6" w:rsidRPr="00EC14D3" w:rsidRDefault="00D73FD6" w:rsidP="001063A3">
            <w:pPr>
              <w:spacing w:before="120"/>
              <w:jc w:val="both"/>
              <w:rPr>
                <w:rFonts w:ascii="Trebuchet MS" w:hAnsi="Trebuchet MS"/>
                <w:color w:val="0D0D0D"/>
                <w:sz w:val="24"/>
                <w:szCs w:val="24"/>
                <w:lang w:val="en-GB"/>
              </w:rPr>
            </w:pPr>
          </w:p>
          <w:p w14:paraId="0F425436" w14:textId="77777777" w:rsidR="00D73FD6" w:rsidRPr="00EC14D3" w:rsidRDefault="00D73FD6" w:rsidP="001063A3">
            <w:pPr>
              <w:spacing w:before="120"/>
              <w:jc w:val="both"/>
              <w:rPr>
                <w:rFonts w:ascii="Trebuchet MS" w:hAnsi="Trebuchet MS"/>
                <w:color w:val="0D0D0D"/>
                <w:sz w:val="24"/>
                <w:szCs w:val="24"/>
                <w:lang w:val="en-GB"/>
              </w:rPr>
            </w:pPr>
          </w:p>
          <w:p w14:paraId="7EA55097" w14:textId="77777777" w:rsidR="00D73FD6" w:rsidRPr="00EC14D3" w:rsidRDefault="00D73FD6" w:rsidP="001063A3">
            <w:pPr>
              <w:spacing w:before="120"/>
              <w:jc w:val="both"/>
              <w:rPr>
                <w:rFonts w:ascii="Trebuchet MS" w:hAnsi="Trebuchet MS"/>
                <w:color w:val="0D0D0D"/>
                <w:sz w:val="24"/>
                <w:szCs w:val="24"/>
                <w:lang w:val="en-GB"/>
              </w:rPr>
            </w:pPr>
          </w:p>
          <w:p w14:paraId="50B3B42A" w14:textId="77777777" w:rsidR="00374581" w:rsidRPr="00EC14D3" w:rsidRDefault="00374581" w:rsidP="001063A3">
            <w:pPr>
              <w:spacing w:before="120"/>
              <w:jc w:val="both"/>
              <w:rPr>
                <w:rFonts w:ascii="Trebuchet MS" w:hAnsi="Trebuchet MS"/>
                <w:color w:val="0D0D0D"/>
                <w:sz w:val="24"/>
                <w:szCs w:val="24"/>
                <w:lang w:val="en-GB"/>
              </w:rPr>
            </w:pPr>
          </w:p>
          <w:p w14:paraId="696CA4AE" w14:textId="563F2D24" w:rsidR="00D73FD6" w:rsidRPr="00EC14D3" w:rsidRDefault="00D73FD6" w:rsidP="001063A3">
            <w:pPr>
              <w:spacing w:before="120"/>
              <w:jc w:val="both"/>
              <w:rPr>
                <w:rFonts w:ascii="Trebuchet MS" w:hAnsi="Trebuchet MS"/>
                <w:b/>
                <w:color w:val="0D0D0D"/>
                <w:sz w:val="24"/>
                <w:szCs w:val="24"/>
                <w:lang w:val="en-GB"/>
              </w:rPr>
            </w:pPr>
            <w:r w:rsidRPr="00EC14D3">
              <w:rPr>
                <w:rFonts w:ascii="Trebuchet MS" w:hAnsi="Trebuchet MS"/>
                <w:color w:val="0D0D0D"/>
                <w:sz w:val="24"/>
                <w:szCs w:val="24"/>
                <w:lang w:val="en-GB"/>
              </w:rPr>
              <w:t>Verifiable</w:t>
            </w:r>
            <w:r w:rsidRPr="00EC14D3">
              <w:rPr>
                <w:rFonts w:ascii="Trebuchet MS" w:hAnsi="Trebuchet MS"/>
                <w:b/>
                <w:color w:val="0D0D0D"/>
                <w:sz w:val="24"/>
                <w:szCs w:val="24"/>
                <w:lang w:val="en-GB"/>
              </w:rPr>
              <w:t xml:space="preserve"> </w:t>
            </w:r>
          </w:p>
          <w:p w14:paraId="07F68ADF" w14:textId="77777777" w:rsidR="00D73FD6" w:rsidRPr="00EC14D3" w:rsidRDefault="00D73FD6" w:rsidP="001063A3">
            <w:pPr>
              <w:spacing w:before="120"/>
              <w:jc w:val="both"/>
              <w:rPr>
                <w:rFonts w:ascii="Trebuchet MS" w:hAnsi="Trebuchet MS"/>
                <w:b/>
                <w:color w:val="0D0D0D"/>
                <w:sz w:val="24"/>
                <w:szCs w:val="24"/>
                <w:lang w:val="en-GB"/>
              </w:rPr>
            </w:pPr>
          </w:p>
          <w:p w14:paraId="183A3075" w14:textId="77777777" w:rsidR="00D73FD6" w:rsidRPr="00EC14D3" w:rsidRDefault="00D73FD6" w:rsidP="001063A3">
            <w:pPr>
              <w:spacing w:before="120"/>
              <w:jc w:val="both"/>
              <w:rPr>
                <w:rFonts w:ascii="Trebuchet MS" w:hAnsi="Trebuchet MS"/>
                <w:b/>
                <w:color w:val="0D0D0D"/>
                <w:sz w:val="24"/>
                <w:szCs w:val="24"/>
                <w:lang w:val="en-GB"/>
              </w:rPr>
            </w:pPr>
          </w:p>
          <w:p w14:paraId="0B61A8C3" w14:textId="77777777" w:rsidR="00D73FD6" w:rsidRPr="00EC14D3" w:rsidRDefault="00D73FD6" w:rsidP="001063A3">
            <w:pPr>
              <w:spacing w:before="120"/>
              <w:jc w:val="both"/>
              <w:rPr>
                <w:rFonts w:ascii="Trebuchet MS" w:hAnsi="Trebuchet MS"/>
                <w:b/>
                <w:color w:val="0D0D0D"/>
                <w:sz w:val="24"/>
                <w:szCs w:val="24"/>
                <w:lang w:val="en-GB"/>
              </w:rPr>
            </w:pPr>
          </w:p>
          <w:p w14:paraId="3C93F36B" w14:textId="77777777" w:rsidR="00D73FD6" w:rsidRPr="00EC14D3" w:rsidRDefault="00D73FD6" w:rsidP="001063A3">
            <w:pPr>
              <w:spacing w:before="120"/>
              <w:jc w:val="both"/>
              <w:rPr>
                <w:rFonts w:ascii="Trebuchet MS" w:hAnsi="Trebuchet MS"/>
                <w:b/>
                <w:color w:val="0D0D0D"/>
                <w:sz w:val="24"/>
                <w:szCs w:val="24"/>
                <w:lang w:val="en-GB"/>
              </w:rPr>
            </w:pPr>
          </w:p>
          <w:p w14:paraId="12EE1AA7" w14:textId="77777777" w:rsidR="00D73FD6" w:rsidRPr="00EC14D3" w:rsidRDefault="00D73FD6" w:rsidP="001063A3">
            <w:pPr>
              <w:spacing w:before="120"/>
              <w:jc w:val="both"/>
              <w:rPr>
                <w:rFonts w:ascii="Trebuchet MS" w:hAnsi="Trebuchet MS"/>
                <w:b/>
                <w:color w:val="0D0D0D"/>
                <w:sz w:val="24"/>
                <w:szCs w:val="24"/>
                <w:lang w:val="en-GB"/>
              </w:rPr>
            </w:pPr>
          </w:p>
          <w:p w14:paraId="538136C8" w14:textId="77777777" w:rsidR="00D73FD6" w:rsidRPr="00EC14D3" w:rsidRDefault="00D73FD6" w:rsidP="001063A3">
            <w:pPr>
              <w:spacing w:before="120"/>
              <w:jc w:val="both"/>
              <w:rPr>
                <w:rFonts w:ascii="Trebuchet MS" w:hAnsi="Trebuchet MS"/>
                <w:b/>
                <w:color w:val="0D0D0D"/>
                <w:sz w:val="24"/>
                <w:szCs w:val="24"/>
                <w:lang w:val="en-GB"/>
              </w:rPr>
            </w:pPr>
          </w:p>
          <w:p w14:paraId="1F1F86C0" w14:textId="77777777" w:rsidR="00D73FD6" w:rsidRPr="00EC14D3" w:rsidRDefault="00D73FD6" w:rsidP="001063A3">
            <w:pPr>
              <w:spacing w:before="120"/>
              <w:jc w:val="both"/>
              <w:rPr>
                <w:rFonts w:ascii="Trebuchet MS" w:hAnsi="Trebuchet MS"/>
                <w:b/>
                <w:color w:val="0D0D0D"/>
                <w:sz w:val="24"/>
                <w:szCs w:val="24"/>
                <w:lang w:val="en-GB"/>
              </w:rPr>
            </w:pPr>
          </w:p>
          <w:p w14:paraId="17814367" w14:textId="77777777" w:rsidR="00D73FD6" w:rsidRPr="00EC14D3" w:rsidRDefault="00D73FD6" w:rsidP="001063A3">
            <w:pPr>
              <w:spacing w:before="120"/>
              <w:jc w:val="both"/>
              <w:rPr>
                <w:rFonts w:ascii="Trebuchet MS" w:hAnsi="Trebuchet MS"/>
                <w:b/>
                <w:color w:val="0D0D0D"/>
                <w:sz w:val="24"/>
                <w:szCs w:val="24"/>
                <w:lang w:val="en-GB"/>
              </w:rPr>
            </w:pPr>
          </w:p>
          <w:p w14:paraId="55037D1D" w14:textId="77777777" w:rsidR="00D73FD6" w:rsidRPr="00EC14D3" w:rsidRDefault="00D73FD6" w:rsidP="001063A3">
            <w:pPr>
              <w:spacing w:before="120"/>
              <w:jc w:val="both"/>
              <w:rPr>
                <w:rFonts w:ascii="Trebuchet MS" w:hAnsi="Trebuchet MS"/>
                <w:b/>
                <w:color w:val="0D0D0D"/>
                <w:sz w:val="24"/>
                <w:szCs w:val="24"/>
                <w:lang w:val="en-GB"/>
              </w:rPr>
            </w:pPr>
          </w:p>
          <w:p w14:paraId="01E3B24E" w14:textId="77777777" w:rsidR="00D73FD6" w:rsidRPr="00EC14D3" w:rsidRDefault="00D73FD6" w:rsidP="001063A3">
            <w:pPr>
              <w:spacing w:before="120"/>
              <w:jc w:val="both"/>
              <w:rPr>
                <w:rFonts w:ascii="Trebuchet MS" w:hAnsi="Trebuchet MS"/>
                <w:b/>
                <w:color w:val="0D0D0D"/>
                <w:sz w:val="24"/>
                <w:szCs w:val="24"/>
                <w:lang w:val="en-GB"/>
              </w:rPr>
            </w:pPr>
          </w:p>
          <w:p w14:paraId="173C1BFA" w14:textId="69AC97DE" w:rsidR="00D73FD6" w:rsidRPr="00EC14D3" w:rsidRDefault="00D73FD6" w:rsidP="001063A3">
            <w:pPr>
              <w:spacing w:before="120"/>
              <w:jc w:val="both"/>
              <w:rPr>
                <w:rFonts w:ascii="Trebuchet MS" w:hAnsi="Trebuchet MS"/>
                <w:b/>
                <w:color w:val="0D0D0D"/>
                <w:sz w:val="24"/>
                <w:szCs w:val="24"/>
                <w:lang w:val="en-GB"/>
              </w:rPr>
            </w:pPr>
          </w:p>
          <w:p w14:paraId="1D4B1942" w14:textId="6514CB3F" w:rsidR="00710EAC" w:rsidRPr="00EC14D3" w:rsidRDefault="00710EAC" w:rsidP="001063A3">
            <w:pPr>
              <w:spacing w:before="120"/>
              <w:jc w:val="both"/>
              <w:rPr>
                <w:rFonts w:ascii="Trebuchet MS" w:hAnsi="Trebuchet MS"/>
                <w:b/>
                <w:color w:val="0D0D0D"/>
                <w:sz w:val="24"/>
                <w:szCs w:val="24"/>
                <w:lang w:val="en-GB"/>
              </w:rPr>
            </w:pPr>
          </w:p>
          <w:p w14:paraId="69C61AA8" w14:textId="6FF99903" w:rsidR="00710EAC" w:rsidRPr="00EC14D3" w:rsidRDefault="00710EAC" w:rsidP="001063A3">
            <w:pPr>
              <w:spacing w:before="120"/>
              <w:jc w:val="both"/>
              <w:rPr>
                <w:rFonts w:ascii="Trebuchet MS" w:hAnsi="Trebuchet MS"/>
                <w:b/>
                <w:color w:val="0D0D0D"/>
                <w:sz w:val="24"/>
                <w:szCs w:val="24"/>
                <w:lang w:val="en-GB"/>
              </w:rPr>
            </w:pPr>
          </w:p>
          <w:p w14:paraId="556FFD34" w14:textId="44518A22" w:rsidR="00710EAC" w:rsidRPr="00EC14D3" w:rsidRDefault="00710EAC" w:rsidP="001063A3">
            <w:pPr>
              <w:spacing w:before="120"/>
              <w:jc w:val="both"/>
              <w:rPr>
                <w:rFonts w:ascii="Trebuchet MS" w:hAnsi="Trebuchet MS"/>
                <w:b/>
                <w:color w:val="0D0D0D"/>
                <w:sz w:val="24"/>
                <w:szCs w:val="24"/>
                <w:lang w:val="en-GB"/>
              </w:rPr>
            </w:pPr>
          </w:p>
          <w:p w14:paraId="3728ABD5" w14:textId="77777777" w:rsidR="00374581" w:rsidRPr="00EC14D3" w:rsidRDefault="00374581" w:rsidP="001063A3">
            <w:pPr>
              <w:spacing w:before="120"/>
              <w:jc w:val="both"/>
              <w:rPr>
                <w:rFonts w:ascii="Trebuchet MS" w:hAnsi="Trebuchet MS"/>
                <w:color w:val="0D0D0D"/>
                <w:sz w:val="24"/>
                <w:szCs w:val="24"/>
                <w:lang w:val="en-GB"/>
              </w:rPr>
            </w:pPr>
          </w:p>
          <w:p w14:paraId="292C70D8" w14:textId="77777777" w:rsidR="00374581" w:rsidRPr="00EC14D3" w:rsidRDefault="00374581" w:rsidP="001063A3">
            <w:pPr>
              <w:spacing w:before="120"/>
              <w:jc w:val="both"/>
              <w:rPr>
                <w:rFonts w:ascii="Trebuchet MS" w:hAnsi="Trebuchet MS"/>
                <w:color w:val="0D0D0D"/>
                <w:sz w:val="24"/>
                <w:szCs w:val="24"/>
                <w:lang w:val="en-GB"/>
              </w:rPr>
            </w:pPr>
          </w:p>
          <w:p w14:paraId="09FA1397" w14:textId="77777777" w:rsidR="00374581" w:rsidRPr="00EC14D3" w:rsidRDefault="00374581" w:rsidP="001063A3">
            <w:pPr>
              <w:spacing w:before="120"/>
              <w:jc w:val="both"/>
              <w:rPr>
                <w:rFonts w:ascii="Trebuchet MS" w:hAnsi="Trebuchet MS"/>
                <w:color w:val="0D0D0D"/>
                <w:sz w:val="24"/>
                <w:szCs w:val="24"/>
                <w:lang w:val="en-GB"/>
              </w:rPr>
            </w:pPr>
          </w:p>
          <w:p w14:paraId="2677DB77" w14:textId="77777777" w:rsidR="005765DC" w:rsidRPr="00EC14D3" w:rsidRDefault="005765DC" w:rsidP="001063A3">
            <w:pPr>
              <w:spacing w:before="120"/>
              <w:jc w:val="both"/>
              <w:rPr>
                <w:rFonts w:ascii="Trebuchet MS" w:hAnsi="Trebuchet MS"/>
                <w:color w:val="0D0D0D"/>
                <w:sz w:val="24"/>
                <w:szCs w:val="24"/>
                <w:lang w:val="en-GB"/>
              </w:rPr>
            </w:pPr>
          </w:p>
          <w:p w14:paraId="7809FDCA" w14:textId="7E2682E1" w:rsidR="00D73FD6" w:rsidRPr="00EC14D3" w:rsidRDefault="00D73FD6" w:rsidP="001063A3">
            <w:pPr>
              <w:spacing w:before="120"/>
              <w:jc w:val="both"/>
              <w:rPr>
                <w:rFonts w:ascii="Trebuchet MS" w:hAnsi="Trebuchet MS"/>
                <w:color w:val="0D0D0D"/>
                <w:sz w:val="24"/>
                <w:szCs w:val="24"/>
                <w:lang w:val="en-GB"/>
              </w:rPr>
            </w:pPr>
            <w:r w:rsidRPr="00EC14D3">
              <w:rPr>
                <w:rFonts w:ascii="Trebuchet MS" w:hAnsi="Trebuchet MS"/>
                <w:color w:val="0D0D0D"/>
                <w:sz w:val="24"/>
                <w:szCs w:val="24"/>
                <w:lang w:val="en-GB"/>
              </w:rPr>
              <w:t>Equitable</w:t>
            </w:r>
          </w:p>
          <w:p w14:paraId="325A3987" w14:textId="77777777" w:rsidR="00D73FD6" w:rsidRPr="00EC14D3" w:rsidRDefault="00D73FD6" w:rsidP="001063A3">
            <w:pPr>
              <w:spacing w:before="120"/>
              <w:jc w:val="both"/>
              <w:rPr>
                <w:rFonts w:ascii="Trebuchet MS" w:hAnsi="Trebuchet MS"/>
                <w:b/>
                <w:color w:val="0D0D0D"/>
                <w:sz w:val="24"/>
                <w:szCs w:val="24"/>
                <w:lang w:val="en-GB"/>
              </w:rPr>
            </w:pPr>
          </w:p>
        </w:tc>
        <w:tc>
          <w:tcPr>
            <w:tcW w:w="7797" w:type="dxa"/>
          </w:tcPr>
          <w:p w14:paraId="25668943" w14:textId="77777777" w:rsidR="00710EAC" w:rsidRPr="00EC14D3" w:rsidRDefault="00710EAC" w:rsidP="00710EAC">
            <w:pPr>
              <w:pStyle w:val="Guidelines5"/>
              <w:spacing w:before="120" w:after="120"/>
              <w:rPr>
                <w:rFonts w:ascii="Trebuchet MS" w:hAnsi="Trebuchet MS"/>
                <w:b w:val="0"/>
                <w:noProof w:val="0"/>
                <w:color w:val="0D0D0D"/>
                <w:szCs w:val="24"/>
                <w:lang w:val="en-GB"/>
              </w:rPr>
            </w:pPr>
            <w:r w:rsidRPr="00EC14D3">
              <w:rPr>
                <w:rFonts w:ascii="Trebuchet MS" w:hAnsi="Trebuchet MS"/>
                <w:b w:val="0"/>
                <w:noProof w:val="0"/>
                <w:color w:val="0D0D0D"/>
                <w:szCs w:val="24"/>
                <w:lang w:val="en-GB"/>
              </w:rPr>
              <w:t xml:space="preserve">The abovementioned lump sum is established by taking into account historical data, namely all certified expenditures for preparation of projects financed within the </w:t>
            </w:r>
            <w:proofErr w:type="spellStart"/>
            <w:r w:rsidRPr="00EC14D3">
              <w:rPr>
                <w:rFonts w:ascii="Trebuchet MS" w:hAnsi="Trebuchet MS"/>
                <w:b w:val="0"/>
                <w:noProof w:val="0"/>
                <w:color w:val="0D0D0D"/>
                <w:szCs w:val="24"/>
                <w:lang w:val="en-GB"/>
              </w:rPr>
              <w:t>Interreg</w:t>
            </w:r>
            <w:proofErr w:type="spellEnd"/>
            <w:r w:rsidRPr="00EC14D3">
              <w:rPr>
                <w:rFonts w:ascii="Trebuchet MS" w:hAnsi="Trebuchet MS"/>
                <w:b w:val="0"/>
                <w:noProof w:val="0"/>
                <w:color w:val="0D0D0D"/>
                <w:szCs w:val="24"/>
                <w:lang w:val="en-GB"/>
              </w:rPr>
              <w:t xml:space="preserve"> V-A Romania-Bulgaria Programme included in the </w:t>
            </w:r>
            <w:proofErr w:type="spellStart"/>
            <w:r w:rsidRPr="00EC14D3">
              <w:rPr>
                <w:rFonts w:ascii="Trebuchet MS" w:hAnsi="Trebuchet MS"/>
                <w:b w:val="0"/>
                <w:noProof w:val="0"/>
                <w:color w:val="0D0D0D"/>
                <w:szCs w:val="24"/>
                <w:lang w:val="en-GB"/>
              </w:rPr>
              <w:t>eMS</w:t>
            </w:r>
            <w:proofErr w:type="spellEnd"/>
            <w:r w:rsidRPr="00EC14D3">
              <w:rPr>
                <w:rFonts w:ascii="Trebuchet MS" w:hAnsi="Trebuchet MS"/>
                <w:b w:val="0"/>
                <w:noProof w:val="0"/>
                <w:color w:val="0D0D0D"/>
                <w:szCs w:val="24"/>
                <w:lang w:val="en-GB"/>
              </w:rPr>
              <w:t xml:space="preserve"> system in the period 2015-2020. No sampling was performed, all certified expenditures are reflected in the situation. Therefore, the data </w:t>
            </w:r>
            <w:proofErr w:type="spellStart"/>
            <w:r w:rsidRPr="00EC14D3">
              <w:rPr>
                <w:rFonts w:ascii="Trebuchet MS" w:hAnsi="Trebuchet MS"/>
                <w:b w:val="0"/>
                <w:noProof w:val="0"/>
                <w:color w:val="0D0D0D"/>
                <w:szCs w:val="24"/>
                <w:lang w:val="en-GB"/>
              </w:rPr>
              <w:t>analyzed</w:t>
            </w:r>
            <w:proofErr w:type="spellEnd"/>
            <w:r w:rsidRPr="00EC14D3">
              <w:rPr>
                <w:rFonts w:ascii="Trebuchet MS" w:hAnsi="Trebuchet MS"/>
                <w:b w:val="0"/>
                <w:noProof w:val="0"/>
                <w:color w:val="0D0D0D"/>
                <w:szCs w:val="24"/>
                <w:lang w:val="en-GB"/>
              </w:rPr>
              <w:t xml:space="preserve"> is the most complete, relevant as well as the most accurate, as it reflects all certified project expenditures for preparation, expenditures which were also audited by the Audit Authority as real costs.  </w:t>
            </w:r>
          </w:p>
          <w:p w14:paraId="6301DF3C" w14:textId="1F2EA4BC" w:rsidR="00EC343F" w:rsidRPr="00EC14D3" w:rsidRDefault="00710EAC" w:rsidP="00710EAC">
            <w:pPr>
              <w:pStyle w:val="Guidelines5"/>
              <w:spacing w:before="120" w:after="120"/>
              <w:rPr>
                <w:rFonts w:ascii="Trebuchet MS" w:hAnsi="Trebuchet MS"/>
                <w:b w:val="0"/>
                <w:noProof w:val="0"/>
                <w:color w:val="0D0D0D"/>
                <w:szCs w:val="24"/>
                <w:lang w:val="en-GB"/>
              </w:rPr>
            </w:pPr>
            <w:r w:rsidRPr="00EC14D3">
              <w:rPr>
                <w:rFonts w:ascii="Trebuchet MS" w:hAnsi="Trebuchet MS"/>
                <w:b w:val="0"/>
                <w:noProof w:val="0"/>
                <w:color w:val="0D0D0D"/>
                <w:szCs w:val="24"/>
                <w:lang w:val="en-GB"/>
              </w:rPr>
              <w:t>In order to ensure the validity of the amounts, the database, drafted by JS, was cross-checked by the Managing Authority (Certification Unit). The average value of project preparation certified expenditures was the one taken into account</w:t>
            </w:r>
            <w:r w:rsidR="00243740" w:rsidRPr="00EC14D3">
              <w:rPr>
                <w:rFonts w:ascii="Trebuchet MS" w:hAnsi="Trebuchet MS"/>
                <w:b w:val="0"/>
                <w:noProof w:val="0"/>
                <w:color w:val="0D0D0D"/>
                <w:szCs w:val="24"/>
                <w:lang w:val="en-GB"/>
              </w:rPr>
              <w:t xml:space="preserve"> (</w:t>
            </w:r>
            <w:r w:rsidR="00551A09" w:rsidRPr="00EC14D3">
              <w:rPr>
                <w:rFonts w:ascii="Trebuchet MS" w:hAnsi="Trebuchet MS"/>
                <w:b w:val="0"/>
                <w:noProof w:val="0"/>
                <w:color w:val="0D0D0D"/>
                <w:szCs w:val="24"/>
                <w:lang w:val="en-GB"/>
              </w:rPr>
              <w:t>considering only the costs for Consultancy for the preparation of the Application form and annexes</w:t>
            </w:r>
            <w:r w:rsidR="00243740" w:rsidRPr="00EC14D3">
              <w:rPr>
                <w:rFonts w:ascii="Trebuchet MS" w:hAnsi="Trebuchet MS"/>
                <w:b w:val="0"/>
                <w:noProof w:val="0"/>
                <w:color w:val="0D0D0D"/>
                <w:szCs w:val="24"/>
                <w:lang w:val="en-GB"/>
              </w:rPr>
              <w:t>)</w:t>
            </w:r>
            <w:r w:rsidRPr="00EC14D3">
              <w:rPr>
                <w:rFonts w:ascii="Trebuchet MS" w:hAnsi="Trebuchet MS"/>
                <w:b w:val="0"/>
                <w:noProof w:val="0"/>
                <w:color w:val="0D0D0D"/>
                <w:szCs w:val="24"/>
                <w:lang w:val="en-GB"/>
              </w:rPr>
              <w:t xml:space="preserve">, as it was identified as </w:t>
            </w:r>
            <w:r w:rsidR="00B90859" w:rsidRPr="00EC14D3">
              <w:rPr>
                <w:rFonts w:ascii="Trebuchet MS" w:hAnsi="Trebuchet MS"/>
                <w:b w:val="0"/>
                <w:noProof w:val="0"/>
                <w:color w:val="0D0D0D"/>
                <w:szCs w:val="24"/>
                <w:lang w:val="en-GB"/>
              </w:rPr>
              <w:t xml:space="preserve">the weighted arithmetic is </w:t>
            </w:r>
            <w:r w:rsidRPr="00EC14D3">
              <w:rPr>
                <w:rFonts w:ascii="Trebuchet MS" w:hAnsi="Trebuchet MS"/>
                <w:b w:val="0"/>
                <w:noProof w:val="0"/>
                <w:color w:val="0D0D0D"/>
                <w:szCs w:val="24"/>
                <w:lang w:val="en-GB"/>
              </w:rPr>
              <w:t>the most suitable option and it is one of the options available in the current Guidance on Simplified Cost Options approved by the European Commission.</w:t>
            </w:r>
          </w:p>
          <w:p w14:paraId="36BA9CB8" w14:textId="6B872A9B" w:rsidR="00EC343F" w:rsidRPr="00EC14D3" w:rsidRDefault="00EC343F" w:rsidP="00710EAC">
            <w:pPr>
              <w:pStyle w:val="Guidelines5"/>
              <w:spacing w:before="120" w:after="120"/>
              <w:rPr>
                <w:rFonts w:ascii="Trebuchet MS" w:hAnsi="Trebuchet MS"/>
                <w:b w:val="0"/>
                <w:noProof w:val="0"/>
                <w:color w:val="0D0D0D"/>
                <w:szCs w:val="24"/>
                <w:lang w:val="en-GB"/>
              </w:rPr>
            </w:pPr>
            <w:r w:rsidRPr="00A0651E">
              <w:rPr>
                <w:rFonts w:ascii="Trebuchet MS" w:hAnsi="Trebuchet MS"/>
                <w:b w:val="0"/>
                <w:noProof w:val="0"/>
                <w:color w:val="0D0D0D"/>
                <w:szCs w:val="24"/>
                <w:lang w:val="en-GB"/>
              </w:rPr>
              <w:t>The lump sum for the project preparation is of 10,318.87 euro.</w:t>
            </w:r>
          </w:p>
          <w:p w14:paraId="635A7205" w14:textId="11B82CD7" w:rsidR="00EC343F" w:rsidRPr="00A0651E" w:rsidRDefault="00B90859" w:rsidP="00710EAC">
            <w:pPr>
              <w:pStyle w:val="Guidelines5"/>
              <w:spacing w:before="120" w:after="120"/>
              <w:rPr>
                <w:rFonts w:ascii="Trebuchet MS" w:hAnsi="Trebuchet MS"/>
                <w:b w:val="0"/>
                <w:noProof w:val="0"/>
                <w:color w:val="0D0D0D"/>
                <w:szCs w:val="24"/>
                <w:lang w:val="en-GB"/>
              </w:rPr>
            </w:pPr>
            <w:r w:rsidRPr="00EC14D3">
              <w:rPr>
                <w:rFonts w:ascii="Trebuchet MS" w:hAnsi="Trebuchet MS"/>
                <w:b w:val="0"/>
                <w:noProof w:val="0"/>
                <w:color w:val="0D0D0D"/>
                <w:szCs w:val="24"/>
                <w:lang w:val="en-GB"/>
              </w:rPr>
              <w:t xml:space="preserve">Considering the inflation rate </w:t>
            </w:r>
            <w:r w:rsidR="004A09E6" w:rsidRPr="00EC14D3">
              <w:rPr>
                <w:rFonts w:ascii="Trebuchet MS" w:hAnsi="Trebuchet MS"/>
                <w:b w:val="0"/>
                <w:noProof w:val="0"/>
                <w:color w:val="0D0D0D"/>
                <w:szCs w:val="24"/>
                <w:lang w:val="en-GB"/>
              </w:rPr>
              <w:t>and prices instability of the last two years,</w:t>
            </w:r>
            <w:r w:rsidR="00C76D25" w:rsidRPr="00EC14D3">
              <w:rPr>
                <w:rFonts w:ascii="Trebuchet MS" w:hAnsi="Trebuchet MS"/>
                <w:b w:val="0"/>
                <w:noProof w:val="0"/>
                <w:color w:val="0D0D0D"/>
                <w:szCs w:val="24"/>
                <w:lang w:val="en-GB"/>
              </w:rPr>
              <w:t xml:space="preserve"> an adjustment </w:t>
            </w:r>
            <w:r w:rsidR="006D65FB" w:rsidRPr="00EC14D3">
              <w:rPr>
                <w:rFonts w:ascii="Trebuchet MS" w:hAnsi="Trebuchet MS"/>
                <w:b w:val="0"/>
                <w:noProof w:val="0"/>
                <w:color w:val="0D0D0D"/>
                <w:szCs w:val="24"/>
                <w:lang w:val="en-GB"/>
              </w:rPr>
              <w:t xml:space="preserve">of the project lump sum </w:t>
            </w:r>
            <w:r w:rsidR="00C76D25" w:rsidRPr="00EC14D3">
              <w:rPr>
                <w:rFonts w:ascii="Trebuchet MS" w:hAnsi="Trebuchet MS"/>
                <w:b w:val="0"/>
                <w:noProof w:val="0"/>
                <w:color w:val="0D0D0D"/>
                <w:szCs w:val="24"/>
                <w:lang w:val="en-GB"/>
              </w:rPr>
              <w:t>to inflation rate was made</w:t>
            </w:r>
            <w:r w:rsidR="006D65FB" w:rsidRPr="00EC14D3">
              <w:rPr>
                <w:rFonts w:ascii="Trebuchet MS" w:hAnsi="Trebuchet MS"/>
                <w:b w:val="0"/>
                <w:noProof w:val="0"/>
                <w:color w:val="0D0D0D"/>
                <w:szCs w:val="24"/>
                <w:lang w:val="en-GB"/>
              </w:rPr>
              <w:t>.</w:t>
            </w:r>
            <w:r w:rsidR="005E40A8" w:rsidRPr="00EC14D3">
              <w:rPr>
                <w:rFonts w:ascii="Trebuchet MS" w:hAnsi="Trebuchet MS"/>
                <w:b w:val="0"/>
                <w:noProof w:val="0"/>
                <w:color w:val="0D0D0D"/>
                <w:szCs w:val="24"/>
                <w:lang w:val="en-GB"/>
              </w:rPr>
              <w:t xml:space="preserve"> Thus, the project lump sum </w:t>
            </w:r>
            <w:r w:rsidR="00C459B1" w:rsidRPr="00EC14D3">
              <w:rPr>
                <w:rFonts w:ascii="Trebuchet MS" w:hAnsi="Trebuchet MS"/>
                <w:b w:val="0"/>
                <w:noProof w:val="0"/>
                <w:color w:val="0D0D0D"/>
                <w:szCs w:val="24"/>
                <w:lang w:val="en-GB"/>
              </w:rPr>
              <w:t>was increased by the highest</w:t>
            </w:r>
            <w:r w:rsidR="004D41FC" w:rsidRPr="00EC14D3">
              <w:rPr>
                <w:rFonts w:ascii="Trebuchet MS" w:hAnsi="Trebuchet MS"/>
                <w:b w:val="0"/>
                <w:noProof w:val="0"/>
                <w:color w:val="0D0D0D"/>
                <w:szCs w:val="24"/>
                <w:lang w:val="en-GB"/>
              </w:rPr>
              <w:t xml:space="preserve"> annual</w:t>
            </w:r>
            <w:r w:rsidR="00C459B1" w:rsidRPr="00EC14D3">
              <w:rPr>
                <w:rFonts w:ascii="Trebuchet MS" w:hAnsi="Trebuchet MS"/>
                <w:b w:val="0"/>
                <w:noProof w:val="0"/>
                <w:color w:val="0D0D0D"/>
                <w:szCs w:val="24"/>
                <w:lang w:val="en-GB"/>
              </w:rPr>
              <w:t xml:space="preserve"> average inflation rate</w:t>
            </w:r>
            <w:r w:rsidR="004D41FC" w:rsidRPr="00EC14D3">
              <w:rPr>
                <w:rFonts w:ascii="Trebuchet MS" w:hAnsi="Trebuchet MS"/>
                <w:b w:val="0"/>
                <w:noProof w:val="0"/>
                <w:color w:val="0D0D0D"/>
                <w:szCs w:val="24"/>
                <w:lang w:val="en-GB"/>
              </w:rPr>
              <w:t xml:space="preserve"> </w:t>
            </w:r>
            <w:r w:rsidR="00C459B1" w:rsidRPr="00EC14D3">
              <w:rPr>
                <w:rFonts w:ascii="Trebuchet MS" w:hAnsi="Trebuchet MS"/>
                <w:b w:val="0"/>
                <w:noProof w:val="0"/>
                <w:color w:val="0D0D0D"/>
                <w:szCs w:val="24"/>
                <w:lang w:val="en-GB"/>
              </w:rPr>
              <w:t>of the Programme’s Member S</w:t>
            </w:r>
            <w:r w:rsidR="00645E3A" w:rsidRPr="00EC14D3">
              <w:rPr>
                <w:rFonts w:ascii="Trebuchet MS" w:hAnsi="Trebuchet MS"/>
                <w:b w:val="0"/>
                <w:noProof w:val="0"/>
                <w:color w:val="0D0D0D"/>
                <w:szCs w:val="24"/>
                <w:lang w:val="en-GB"/>
              </w:rPr>
              <w:t xml:space="preserve">tates for 2021, </w:t>
            </w:r>
            <w:r w:rsidR="00C459B1" w:rsidRPr="00EC14D3">
              <w:rPr>
                <w:rFonts w:ascii="Trebuchet MS" w:hAnsi="Trebuchet MS"/>
                <w:b w:val="0"/>
                <w:noProof w:val="0"/>
                <w:color w:val="0D0D0D"/>
                <w:szCs w:val="24"/>
                <w:lang w:val="en-GB"/>
              </w:rPr>
              <w:t>2022</w:t>
            </w:r>
            <w:r w:rsidR="00645E3A" w:rsidRPr="00EC14D3">
              <w:rPr>
                <w:rFonts w:ascii="Trebuchet MS" w:hAnsi="Trebuchet MS"/>
                <w:b w:val="0"/>
                <w:noProof w:val="0"/>
                <w:color w:val="0D0D0D"/>
                <w:szCs w:val="24"/>
                <w:lang w:val="en-GB"/>
              </w:rPr>
              <w:t xml:space="preserve"> </w:t>
            </w:r>
            <w:bookmarkStart w:id="0" w:name="_GoBack"/>
            <w:bookmarkEnd w:id="0"/>
            <w:r w:rsidR="00645E3A" w:rsidRPr="00A0651E">
              <w:rPr>
                <w:rFonts w:ascii="Trebuchet MS" w:hAnsi="Trebuchet MS"/>
                <w:b w:val="0"/>
                <w:noProof w:val="0"/>
                <w:color w:val="0D0D0D"/>
                <w:szCs w:val="24"/>
                <w:lang w:val="en-GB"/>
              </w:rPr>
              <w:t>and 2023</w:t>
            </w:r>
            <w:r w:rsidR="00C459B1" w:rsidRPr="00A0651E">
              <w:rPr>
                <w:rFonts w:ascii="Trebuchet MS" w:hAnsi="Trebuchet MS"/>
                <w:b w:val="0"/>
                <w:noProof w:val="0"/>
                <w:color w:val="0D0D0D"/>
                <w:szCs w:val="24"/>
                <w:lang w:val="en-GB"/>
              </w:rPr>
              <w:t>.</w:t>
            </w:r>
          </w:p>
          <w:p w14:paraId="4B811280" w14:textId="4F5746F6" w:rsidR="00EC343F" w:rsidRPr="00EC14D3" w:rsidRDefault="00EC343F" w:rsidP="00710EAC">
            <w:pPr>
              <w:pStyle w:val="Guidelines5"/>
              <w:spacing w:before="120" w:after="120"/>
              <w:rPr>
                <w:rFonts w:ascii="Trebuchet MS" w:hAnsi="Trebuchet MS"/>
                <w:b w:val="0"/>
                <w:noProof w:val="0"/>
                <w:color w:val="0D0D0D"/>
                <w:szCs w:val="24"/>
                <w:lang w:val="en-GB"/>
              </w:rPr>
            </w:pPr>
            <w:r w:rsidRPr="00A0651E">
              <w:rPr>
                <w:rFonts w:ascii="Trebuchet MS" w:hAnsi="Trebuchet MS"/>
                <w:noProof w:val="0"/>
                <w:color w:val="0D0D0D"/>
                <w:szCs w:val="24"/>
                <w:lang w:val="en-GB"/>
              </w:rPr>
              <w:t>Thus, the final lump sum for the project preparation is of 13,836.65 euro, rounded up to 14,000 euro.</w:t>
            </w:r>
          </w:p>
          <w:p w14:paraId="5902B324" w14:textId="69A45F29" w:rsidR="00FC6FA0" w:rsidRPr="00EC14D3" w:rsidRDefault="00551A09" w:rsidP="00710EAC">
            <w:pPr>
              <w:pStyle w:val="Guidelines5"/>
              <w:spacing w:before="120" w:after="120"/>
              <w:rPr>
                <w:rFonts w:ascii="Trebuchet MS" w:hAnsi="Trebuchet MS"/>
                <w:b w:val="0"/>
                <w:noProof w:val="0"/>
                <w:color w:val="0D0D0D"/>
                <w:szCs w:val="24"/>
                <w:lang w:val="en-GB"/>
              </w:rPr>
            </w:pPr>
            <w:r w:rsidRPr="00EC14D3">
              <w:rPr>
                <w:rFonts w:ascii="Trebuchet MS" w:hAnsi="Trebuchet MS"/>
                <w:b w:val="0"/>
                <w:noProof w:val="0"/>
                <w:color w:val="0D0D0D"/>
                <w:szCs w:val="24"/>
                <w:lang w:val="en-GB"/>
              </w:rPr>
              <w:t xml:space="preserve">The other types of expenditure reimbursed as preparation costs </w:t>
            </w:r>
            <w:r w:rsidR="00C66ADD" w:rsidRPr="00EC14D3">
              <w:rPr>
                <w:rFonts w:ascii="Trebuchet MS" w:hAnsi="Trebuchet MS"/>
                <w:b w:val="0"/>
                <w:noProof w:val="0"/>
                <w:color w:val="0D0D0D"/>
                <w:szCs w:val="24"/>
                <w:lang w:val="en-GB"/>
              </w:rPr>
              <w:t xml:space="preserve">within </w:t>
            </w:r>
            <w:proofErr w:type="spellStart"/>
            <w:r w:rsidR="00C66ADD" w:rsidRPr="00EC14D3">
              <w:rPr>
                <w:rFonts w:ascii="Trebuchet MS" w:hAnsi="Trebuchet MS"/>
                <w:b w:val="0"/>
                <w:noProof w:val="0"/>
                <w:color w:val="0D0D0D"/>
                <w:szCs w:val="24"/>
                <w:lang w:val="en-GB"/>
              </w:rPr>
              <w:t>Interreg</w:t>
            </w:r>
            <w:proofErr w:type="spellEnd"/>
            <w:r w:rsidR="00C66ADD" w:rsidRPr="00EC14D3">
              <w:rPr>
                <w:rFonts w:ascii="Trebuchet MS" w:hAnsi="Trebuchet MS"/>
                <w:b w:val="0"/>
                <w:noProof w:val="0"/>
                <w:color w:val="0D0D0D"/>
                <w:szCs w:val="24"/>
                <w:lang w:val="en-GB"/>
              </w:rPr>
              <w:t xml:space="preserve"> V-A Romania-Bulgaria were not considered, as </w:t>
            </w:r>
            <w:r w:rsidR="000F414B" w:rsidRPr="00EC14D3">
              <w:rPr>
                <w:rFonts w:ascii="Trebuchet MS" w:hAnsi="Trebuchet MS"/>
                <w:b w:val="0"/>
                <w:noProof w:val="0"/>
                <w:color w:val="0D0D0D"/>
                <w:szCs w:val="24"/>
                <w:lang w:val="en-GB"/>
              </w:rPr>
              <w:t xml:space="preserve">the data were not representative for all the population considered. </w:t>
            </w:r>
          </w:p>
          <w:p w14:paraId="498C40E6" w14:textId="4BB46E86" w:rsidR="00ED085A" w:rsidRPr="00EC14D3" w:rsidRDefault="00710EAC" w:rsidP="00710EAC">
            <w:pPr>
              <w:pStyle w:val="Guidelines5"/>
              <w:spacing w:before="120" w:after="120"/>
              <w:rPr>
                <w:rFonts w:ascii="Trebuchet MS" w:hAnsi="Trebuchet MS"/>
                <w:b w:val="0"/>
                <w:noProof w:val="0"/>
                <w:color w:val="0D0D0D"/>
                <w:szCs w:val="24"/>
                <w:lang w:val="en-GB"/>
              </w:rPr>
            </w:pPr>
            <w:r w:rsidRPr="00EC14D3">
              <w:rPr>
                <w:rFonts w:ascii="Trebuchet MS" w:hAnsi="Trebuchet MS"/>
                <w:b w:val="0"/>
                <w:noProof w:val="0"/>
                <w:color w:val="0D0D0D"/>
                <w:szCs w:val="24"/>
                <w:lang w:val="en-GB"/>
              </w:rPr>
              <w:t>While preparing a regular project implies meetings, travel expenditures and sometimes external expertise, an investment project implies additional expenditures for the documents required at Programme level for submitting the application form (</w:t>
            </w:r>
            <w:r w:rsidR="00DD7B8A" w:rsidRPr="00EC14D3">
              <w:rPr>
                <w:rFonts w:ascii="Trebuchet MS" w:hAnsi="Trebuchet MS"/>
                <w:noProof w:val="0"/>
                <w:color w:val="244061" w:themeColor="accent1" w:themeShade="80"/>
                <w:sz w:val="22"/>
                <w:szCs w:val="22"/>
                <w:lang w:val="en-GB"/>
              </w:rPr>
              <w:t>non-exhaustive list</w:t>
            </w:r>
            <w:r w:rsidR="00DD7B8A" w:rsidRPr="00EC14D3">
              <w:rPr>
                <w:rFonts w:ascii="Trebuchet MS" w:hAnsi="Trebuchet MS"/>
                <w:b w:val="0"/>
                <w:noProof w:val="0"/>
                <w:color w:val="0D0D0D"/>
                <w:szCs w:val="24"/>
                <w:lang w:val="en-GB"/>
              </w:rPr>
              <w:t xml:space="preserve">: </w:t>
            </w:r>
            <w:r w:rsidR="003D025B" w:rsidRPr="00EC14D3">
              <w:rPr>
                <w:rFonts w:ascii="Trebuchet MS" w:hAnsi="Trebuchet MS"/>
                <w:b w:val="0"/>
                <w:noProof w:val="0"/>
                <w:color w:val="0D0D0D"/>
                <w:szCs w:val="24"/>
                <w:lang w:val="en-GB"/>
              </w:rPr>
              <w:t>feasibility study or equivalent technical document, Cost Benefit Analysis, studies and costs for documentation necessary to obtain the necessary endorsements and authorizations, documentation concerning the urban planning plan, impact assessments, location studies/appraisals, including their technical verification etc</w:t>
            </w:r>
            <w:r w:rsidR="00DD7B8A" w:rsidRPr="00EC14D3">
              <w:rPr>
                <w:rFonts w:ascii="Trebuchet MS" w:hAnsi="Trebuchet MS"/>
                <w:b w:val="0"/>
                <w:noProof w:val="0"/>
                <w:color w:val="0D0D0D"/>
                <w:szCs w:val="24"/>
                <w:lang w:val="en-GB"/>
              </w:rPr>
              <w:t>. These annexes refer to the documents listed on B. Documents to be submitted depending on the specificity of the application</w:t>
            </w:r>
            <w:r w:rsidR="00E53684" w:rsidRPr="00EC14D3">
              <w:rPr>
                <w:rFonts w:ascii="Trebuchet MS" w:hAnsi="Trebuchet MS"/>
                <w:b w:val="0"/>
                <w:noProof w:val="0"/>
                <w:color w:val="0D0D0D"/>
                <w:szCs w:val="24"/>
                <w:lang w:val="en-GB"/>
              </w:rPr>
              <w:t xml:space="preserve">, </w:t>
            </w:r>
            <w:r w:rsidR="00E53684" w:rsidRPr="00EC14D3">
              <w:rPr>
                <w:rFonts w:ascii="Trebuchet MS" w:eastAsiaTheme="minorHAnsi" w:hAnsi="Trebuchet MS"/>
                <w:b w:val="0"/>
                <w:noProof w:val="0"/>
                <w:snapToGrid/>
                <w:color w:val="0D0D0D"/>
                <w:szCs w:val="24"/>
                <w:lang w:val="en-GB"/>
              </w:rPr>
              <w:t>in the Applicant’s guide)</w:t>
            </w:r>
            <w:r w:rsidR="003D025B" w:rsidRPr="00EC14D3">
              <w:rPr>
                <w:rFonts w:ascii="Trebuchet MS" w:hAnsi="Trebuchet MS"/>
                <w:b w:val="0"/>
                <w:noProof w:val="0"/>
                <w:color w:val="0D0D0D"/>
                <w:szCs w:val="24"/>
                <w:lang w:val="en-GB"/>
              </w:rPr>
              <w:t>.</w:t>
            </w:r>
            <w:r w:rsidR="00243740" w:rsidRPr="00EC14D3">
              <w:rPr>
                <w:rFonts w:ascii="Trebuchet MS" w:hAnsi="Trebuchet MS"/>
                <w:b w:val="0"/>
                <w:noProof w:val="0"/>
                <w:color w:val="0D0D0D"/>
                <w:szCs w:val="24"/>
                <w:lang w:val="en-GB"/>
              </w:rPr>
              <w:t xml:space="preserve">). </w:t>
            </w:r>
          </w:p>
          <w:p w14:paraId="07610096" w14:textId="183482BE" w:rsidR="00FC6FA0" w:rsidRPr="00EC14D3" w:rsidRDefault="00ED085A" w:rsidP="00710EAC">
            <w:pPr>
              <w:pStyle w:val="Guidelines5"/>
              <w:spacing w:before="120" w:after="120"/>
              <w:rPr>
                <w:rFonts w:ascii="Trebuchet MS" w:hAnsi="Trebuchet MS"/>
                <w:b w:val="0"/>
                <w:noProof w:val="0"/>
                <w:color w:val="0D0D0D"/>
                <w:szCs w:val="24"/>
                <w:lang w:val="en-GB"/>
              </w:rPr>
            </w:pPr>
            <w:r w:rsidRPr="00EC14D3">
              <w:rPr>
                <w:rFonts w:ascii="Trebuchet MS" w:hAnsi="Trebuchet MS"/>
                <w:b w:val="0"/>
                <w:noProof w:val="0"/>
                <w:color w:val="0D0D0D"/>
                <w:szCs w:val="24"/>
                <w:lang w:val="en-GB"/>
              </w:rPr>
              <w:t>For strategic and investment projects, t</w:t>
            </w:r>
            <w:r w:rsidR="00243740" w:rsidRPr="00EC14D3">
              <w:rPr>
                <w:rFonts w:ascii="Trebuchet MS" w:hAnsi="Trebuchet MS"/>
                <w:b w:val="0"/>
                <w:noProof w:val="0"/>
                <w:color w:val="0D0D0D"/>
                <w:szCs w:val="24"/>
                <w:lang w:val="en-GB"/>
              </w:rPr>
              <w:t>he expenditure for th</w:t>
            </w:r>
            <w:r w:rsidRPr="00EC14D3">
              <w:rPr>
                <w:rFonts w:ascii="Trebuchet MS" w:hAnsi="Trebuchet MS"/>
                <w:b w:val="0"/>
                <w:noProof w:val="0"/>
                <w:color w:val="0D0D0D"/>
                <w:szCs w:val="24"/>
                <w:lang w:val="en-GB"/>
              </w:rPr>
              <w:t>e technical documentation as described above</w:t>
            </w:r>
            <w:r w:rsidR="00243740" w:rsidRPr="00EC14D3">
              <w:rPr>
                <w:rFonts w:ascii="Trebuchet MS" w:hAnsi="Trebuchet MS"/>
                <w:b w:val="0"/>
                <w:noProof w:val="0"/>
                <w:color w:val="0D0D0D"/>
                <w:szCs w:val="24"/>
                <w:lang w:val="en-GB"/>
              </w:rPr>
              <w:t xml:space="preserve"> is reimbursed based on real costs.</w:t>
            </w:r>
          </w:p>
          <w:p w14:paraId="2760FD9E" w14:textId="25CEBE23" w:rsidR="00710EAC" w:rsidRPr="00EC14D3" w:rsidRDefault="00710EAC" w:rsidP="00710EAC">
            <w:pPr>
              <w:pStyle w:val="Guidelines5"/>
              <w:spacing w:before="120" w:after="120"/>
              <w:rPr>
                <w:rFonts w:ascii="Trebuchet MS" w:hAnsi="Trebuchet MS"/>
                <w:b w:val="0"/>
                <w:noProof w:val="0"/>
                <w:color w:val="0D0D0D"/>
                <w:szCs w:val="24"/>
                <w:lang w:val="en-GB"/>
              </w:rPr>
            </w:pPr>
            <w:r w:rsidRPr="00EC14D3">
              <w:rPr>
                <w:rFonts w:ascii="Trebuchet MS" w:hAnsi="Trebuchet MS"/>
                <w:b w:val="0"/>
                <w:noProof w:val="0"/>
                <w:color w:val="0D0D0D"/>
                <w:szCs w:val="24"/>
                <w:lang w:val="en-GB"/>
              </w:rPr>
              <w:lastRenderedPageBreak/>
              <w:t xml:space="preserve">The database is annexed.  </w:t>
            </w:r>
          </w:p>
          <w:p w14:paraId="2D34C818" w14:textId="492D5305" w:rsidR="00710EAC" w:rsidRPr="00EC14D3" w:rsidRDefault="00710EAC" w:rsidP="00710EAC">
            <w:pPr>
              <w:spacing w:before="120" w:after="120"/>
              <w:jc w:val="both"/>
              <w:rPr>
                <w:rFonts w:ascii="Trebuchet MS" w:hAnsi="Trebuchet MS"/>
                <w:color w:val="0D0D0D"/>
                <w:sz w:val="24"/>
                <w:szCs w:val="24"/>
                <w:lang w:val="en-GB"/>
              </w:rPr>
            </w:pPr>
            <w:r w:rsidRPr="00EC14D3">
              <w:rPr>
                <w:rFonts w:ascii="Trebuchet MS" w:hAnsi="Trebuchet MS"/>
                <w:color w:val="0D0D0D"/>
                <w:sz w:val="24"/>
                <w:szCs w:val="24"/>
                <w:lang w:val="en-GB"/>
              </w:rPr>
              <w:t>The lump sum for project preparation is granted equally to all financed operations within the Programme.</w:t>
            </w:r>
          </w:p>
          <w:p w14:paraId="2A87C60F" w14:textId="08ECBA5F" w:rsidR="00D73FD6" w:rsidRPr="00EC14D3" w:rsidRDefault="00710EAC" w:rsidP="00374581">
            <w:pPr>
              <w:spacing w:before="120" w:after="120"/>
              <w:jc w:val="both"/>
              <w:rPr>
                <w:rFonts w:ascii="Trebuchet MS" w:hAnsi="Trebuchet MS"/>
                <w:color w:val="0D0D0D"/>
                <w:sz w:val="24"/>
                <w:szCs w:val="24"/>
                <w:lang w:val="en-GB"/>
              </w:rPr>
            </w:pPr>
            <w:r w:rsidRPr="00EC14D3">
              <w:rPr>
                <w:rFonts w:ascii="Trebuchet MS" w:hAnsi="Trebuchet MS"/>
                <w:b/>
                <w:color w:val="0D0D0D"/>
                <w:sz w:val="24"/>
                <w:szCs w:val="24"/>
                <w:lang w:val="en-GB"/>
              </w:rPr>
              <w:t>The lump sum for project preparation is granted in block, per project, to the Lead Beneficiary</w:t>
            </w:r>
            <w:r w:rsidRPr="00EC14D3">
              <w:rPr>
                <w:rFonts w:ascii="Trebuchet MS" w:hAnsi="Trebuchet MS"/>
                <w:color w:val="0D0D0D"/>
                <w:sz w:val="24"/>
                <w:szCs w:val="24"/>
                <w:lang w:val="en-GB"/>
              </w:rPr>
              <w:t xml:space="preserve">. However, when submitting the application form, the division between partners of the lump sum must be mentioned and further on the Lead Beneficiary will transfer the due amounts to its partners. </w:t>
            </w:r>
          </w:p>
        </w:tc>
      </w:tr>
      <w:tr w:rsidR="00D73FD6" w:rsidRPr="00EC14D3" w14:paraId="4E8CEA84" w14:textId="77777777" w:rsidTr="00A0651E">
        <w:tc>
          <w:tcPr>
            <w:tcW w:w="2268" w:type="dxa"/>
          </w:tcPr>
          <w:p w14:paraId="64DBE06B" w14:textId="478D4926" w:rsidR="00542A69" w:rsidRPr="00EC14D3" w:rsidRDefault="00D73FD6" w:rsidP="00256E92">
            <w:pPr>
              <w:spacing w:before="120"/>
              <w:jc w:val="both"/>
              <w:rPr>
                <w:rFonts w:ascii="Trebuchet MS" w:hAnsi="Trebuchet MS"/>
                <w:color w:val="0D0D0D"/>
                <w:sz w:val="24"/>
                <w:szCs w:val="24"/>
                <w:lang w:val="en-GB"/>
              </w:rPr>
            </w:pPr>
            <w:r w:rsidRPr="00EC14D3">
              <w:rPr>
                <w:rFonts w:ascii="Trebuchet MS" w:hAnsi="Trebuchet MS"/>
                <w:b/>
                <w:color w:val="0D0D0D"/>
                <w:sz w:val="24"/>
                <w:szCs w:val="24"/>
                <w:lang w:val="en-GB"/>
              </w:rPr>
              <w:lastRenderedPageBreak/>
              <w:t xml:space="preserve">Conditions triggering the payment of the lump sum for </w:t>
            </w:r>
            <w:r w:rsidR="00550FF1" w:rsidRPr="00EC14D3">
              <w:rPr>
                <w:rFonts w:ascii="Trebuchet MS" w:hAnsi="Trebuchet MS"/>
                <w:b/>
                <w:color w:val="0D0D0D"/>
                <w:sz w:val="24"/>
                <w:szCs w:val="24"/>
                <w:lang w:val="en-GB"/>
              </w:rPr>
              <w:t xml:space="preserve">project </w:t>
            </w:r>
            <w:r w:rsidR="00BB28CF" w:rsidRPr="00EC14D3">
              <w:rPr>
                <w:rFonts w:ascii="Trebuchet MS" w:hAnsi="Trebuchet MS"/>
                <w:b/>
                <w:color w:val="0D0D0D"/>
                <w:sz w:val="24"/>
                <w:szCs w:val="24"/>
                <w:lang w:val="en-GB"/>
              </w:rPr>
              <w:t>preparation</w:t>
            </w:r>
            <w:r w:rsidRPr="00EC14D3">
              <w:rPr>
                <w:rFonts w:ascii="Trebuchet MS" w:hAnsi="Trebuchet MS"/>
                <w:b/>
                <w:color w:val="0D0D0D"/>
                <w:sz w:val="24"/>
                <w:szCs w:val="24"/>
                <w:lang w:val="en-GB"/>
              </w:rPr>
              <w:t>?</w:t>
            </w:r>
          </w:p>
          <w:p w14:paraId="2E5BD684" w14:textId="4B004820" w:rsidR="00256E92" w:rsidRPr="00EC14D3" w:rsidRDefault="00256E92" w:rsidP="00256E92">
            <w:pPr>
              <w:spacing w:before="120"/>
              <w:jc w:val="both"/>
              <w:rPr>
                <w:rFonts w:ascii="Trebuchet MS" w:hAnsi="Trebuchet MS"/>
                <w:color w:val="0D0D0D"/>
                <w:sz w:val="24"/>
                <w:szCs w:val="24"/>
                <w:lang w:val="en-GB"/>
              </w:rPr>
            </w:pPr>
          </w:p>
        </w:tc>
        <w:tc>
          <w:tcPr>
            <w:tcW w:w="7797" w:type="dxa"/>
          </w:tcPr>
          <w:p w14:paraId="0BB58A72" w14:textId="30BB019F" w:rsidR="00D73FD6" w:rsidRPr="00EC14D3" w:rsidRDefault="00073023" w:rsidP="001063A3">
            <w:pPr>
              <w:spacing w:before="120"/>
              <w:jc w:val="both"/>
              <w:rPr>
                <w:rFonts w:ascii="Trebuchet MS" w:hAnsi="Trebuchet MS"/>
                <w:color w:val="0D0D0D"/>
                <w:sz w:val="24"/>
                <w:szCs w:val="24"/>
                <w:lang w:val="en-GB"/>
              </w:rPr>
            </w:pPr>
            <w:r w:rsidRPr="00EC14D3">
              <w:rPr>
                <w:rFonts w:ascii="Trebuchet MS" w:hAnsi="Trebuchet MS"/>
                <w:b/>
                <w:color w:val="0D0D0D"/>
                <w:sz w:val="24"/>
                <w:szCs w:val="24"/>
                <w:lang w:val="en-GB"/>
              </w:rPr>
              <w:t>The output to be achieved</w:t>
            </w:r>
            <w:r w:rsidRPr="00EC14D3">
              <w:rPr>
                <w:rFonts w:ascii="Trebuchet MS" w:hAnsi="Trebuchet MS"/>
                <w:color w:val="0D0D0D"/>
                <w:sz w:val="24"/>
                <w:szCs w:val="24"/>
                <w:lang w:val="en-GB"/>
              </w:rPr>
              <w:t xml:space="preserve"> in case of this particular SCO </w:t>
            </w:r>
            <w:r w:rsidRPr="00EC14D3">
              <w:rPr>
                <w:rFonts w:ascii="Trebuchet MS" w:hAnsi="Trebuchet MS"/>
                <w:b/>
                <w:color w:val="0D0D0D"/>
                <w:sz w:val="24"/>
                <w:szCs w:val="24"/>
                <w:lang w:val="en-GB"/>
              </w:rPr>
              <w:t>is a selected project</w:t>
            </w:r>
            <w:r w:rsidRPr="00EC14D3">
              <w:rPr>
                <w:rFonts w:ascii="Trebuchet MS" w:hAnsi="Trebuchet MS"/>
                <w:color w:val="0D0D0D"/>
                <w:sz w:val="24"/>
                <w:szCs w:val="24"/>
                <w:lang w:val="en-GB"/>
              </w:rPr>
              <w:t xml:space="preserve"> (</w:t>
            </w:r>
            <w:r w:rsidR="00F54A95" w:rsidRPr="00EC14D3">
              <w:rPr>
                <w:rFonts w:ascii="Trebuchet MS" w:hAnsi="Trebuchet MS"/>
                <w:color w:val="0D0D0D"/>
                <w:sz w:val="24"/>
                <w:szCs w:val="24"/>
                <w:lang w:val="en-GB"/>
              </w:rPr>
              <w:t xml:space="preserve">following the </w:t>
            </w:r>
            <w:r w:rsidRPr="00EC14D3">
              <w:rPr>
                <w:rFonts w:ascii="Trebuchet MS" w:hAnsi="Trebuchet MS"/>
                <w:color w:val="0D0D0D"/>
                <w:sz w:val="24"/>
                <w:szCs w:val="24"/>
                <w:lang w:val="en-GB"/>
              </w:rPr>
              <w:t xml:space="preserve">Monitoring Committee decision for project </w:t>
            </w:r>
            <w:r w:rsidR="00EE5CB4" w:rsidRPr="00EC14D3">
              <w:rPr>
                <w:rFonts w:ascii="Trebuchet MS" w:hAnsi="Trebuchet MS"/>
                <w:color w:val="0D0D0D"/>
                <w:sz w:val="24"/>
                <w:szCs w:val="24"/>
                <w:lang w:val="en-GB"/>
              </w:rPr>
              <w:t xml:space="preserve">selection for </w:t>
            </w:r>
            <w:r w:rsidRPr="00EC14D3">
              <w:rPr>
                <w:rFonts w:ascii="Trebuchet MS" w:hAnsi="Trebuchet MS"/>
                <w:color w:val="0D0D0D"/>
                <w:sz w:val="24"/>
                <w:szCs w:val="24"/>
                <w:lang w:val="en-GB"/>
              </w:rPr>
              <w:t xml:space="preserve">financing) </w:t>
            </w:r>
            <w:r w:rsidRPr="00EC14D3">
              <w:rPr>
                <w:rFonts w:ascii="Trebuchet MS" w:hAnsi="Trebuchet MS"/>
                <w:b/>
                <w:color w:val="0D0D0D"/>
                <w:sz w:val="24"/>
                <w:szCs w:val="24"/>
                <w:lang w:val="en-GB"/>
              </w:rPr>
              <w:t>which has signed the financing contract</w:t>
            </w:r>
            <w:r w:rsidR="00683698" w:rsidRPr="00EC14D3">
              <w:rPr>
                <w:rFonts w:ascii="Trebuchet MS" w:hAnsi="Trebuchet MS"/>
                <w:b/>
                <w:color w:val="0D0D0D"/>
                <w:sz w:val="24"/>
                <w:szCs w:val="24"/>
                <w:lang w:val="en-GB"/>
              </w:rPr>
              <w:t>/contracted project</w:t>
            </w:r>
            <w:r w:rsidRPr="00EC14D3">
              <w:rPr>
                <w:rFonts w:ascii="Trebuchet MS" w:hAnsi="Trebuchet MS"/>
                <w:color w:val="0D0D0D"/>
                <w:sz w:val="24"/>
                <w:szCs w:val="24"/>
                <w:lang w:val="en-GB"/>
              </w:rPr>
              <w:t>.</w:t>
            </w:r>
          </w:p>
        </w:tc>
      </w:tr>
      <w:tr w:rsidR="00D73FD6" w:rsidRPr="00EC14D3" w14:paraId="277B77BE" w14:textId="77777777" w:rsidTr="00A0651E">
        <w:tc>
          <w:tcPr>
            <w:tcW w:w="2268" w:type="dxa"/>
          </w:tcPr>
          <w:p w14:paraId="0F0D9F26" w14:textId="77777777" w:rsidR="00D73FD6" w:rsidRPr="00EC14D3" w:rsidRDefault="00D73FD6" w:rsidP="001063A3">
            <w:pPr>
              <w:spacing w:before="120"/>
              <w:jc w:val="both"/>
              <w:rPr>
                <w:rFonts w:ascii="Trebuchet MS" w:hAnsi="Trebuchet MS"/>
                <w:color w:val="0D0D0D"/>
                <w:sz w:val="24"/>
                <w:szCs w:val="24"/>
                <w:lang w:val="en-GB"/>
              </w:rPr>
            </w:pPr>
          </w:p>
          <w:p w14:paraId="189F3C70" w14:textId="6141D0BA" w:rsidR="00D73FD6" w:rsidRPr="00EC14D3" w:rsidRDefault="00D73FD6" w:rsidP="00BB28CF">
            <w:pPr>
              <w:spacing w:before="120"/>
              <w:jc w:val="both"/>
              <w:rPr>
                <w:rFonts w:ascii="Trebuchet MS" w:hAnsi="Trebuchet MS"/>
                <w:color w:val="0D0D0D"/>
                <w:sz w:val="24"/>
                <w:szCs w:val="24"/>
                <w:lang w:val="en-GB"/>
              </w:rPr>
            </w:pPr>
            <w:r w:rsidRPr="00EC14D3">
              <w:rPr>
                <w:rFonts w:ascii="Trebuchet MS" w:hAnsi="Trebuchet MS"/>
                <w:b/>
                <w:color w:val="0D0D0D"/>
                <w:sz w:val="24"/>
                <w:szCs w:val="24"/>
                <w:lang w:val="en-GB"/>
              </w:rPr>
              <w:t xml:space="preserve">Mechanism and checks at Programme level for paying the lump sum for </w:t>
            </w:r>
            <w:r w:rsidR="00784B4F" w:rsidRPr="00EC14D3">
              <w:rPr>
                <w:rFonts w:ascii="Trebuchet MS" w:hAnsi="Trebuchet MS"/>
                <w:b/>
                <w:color w:val="0D0D0D"/>
                <w:sz w:val="24"/>
                <w:szCs w:val="24"/>
                <w:lang w:val="en-GB"/>
              </w:rPr>
              <w:t xml:space="preserve">project </w:t>
            </w:r>
            <w:r w:rsidR="00BB28CF" w:rsidRPr="00EC14D3">
              <w:rPr>
                <w:rFonts w:ascii="Trebuchet MS" w:hAnsi="Trebuchet MS"/>
                <w:b/>
                <w:color w:val="0D0D0D"/>
                <w:sz w:val="24"/>
                <w:szCs w:val="24"/>
                <w:lang w:val="en-GB"/>
              </w:rPr>
              <w:t>preparation</w:t>
            </w:r>
          </w:p>
        </w:tc>
        <w:tc>
          <w:tcPr>
            <w:tcW w:w="7797" w:type="dxa"/>
          </w:tcPr>
          <w:p w14:paraId="33498B8D" w14:textId="794C1435" w:rsidR="00305356" w:rsidRPr="00EC14D3" w:rsidRDefault="00DB5D9A" w:rsidP="008C7EB0">
            <w:pPr>
              <w:spacing w:before="120" w:after="120"/>
              <w:jc w:val="both"/>
              <w:rPr>
                <w:rFonts w:ascii="Trebuchet MS" w:hAnsi="Trebuchet MS"/>
                <w:color w:val="0D0D0D"/>
                <w:sz w:val="24"/>
                <w:szCs w:val="24"/>
                <w:lang w:val="en-GB"/>
              </w:rPr>
            </w:pPr>
            <w:r w:rsidRPr="00EC14D3">
              <w:rPr>
                <w:rFonts w:ascii="Trebuchet MS" w:hAnsi="Trebuchet MS"/>
                <w:color w:val="0D0D0D"/>
                <w:sz w:val="24"/>
                <w:szCs w:val="24"/>
                <w:lang w:val="en-GB"/>
              </w:rPr>
              <w:t xml:space="preserve">Thus, for granting the preparation lump sum, the following mechanisms and checks will be performed: the Joint Secretariat will </w:t>
            </w:r>
            <w:r w:rsidR="00246917" w:rsidRPr="00EC14D3">
              <w:rPr>
                <w:rFonts w:ascii="Trebuchet MS" w:hAnsi="Trebuchet MS"/>
                <w:color w:val="0D0D0D"/>
                <w:sz w:val="24"/>
                <w:szCs w:val="24"/>
                <w:lang w:val="en-GB"/>
              </w:rPr>
              <w:t xml:space="preserve">confirm </w:t>
            </w:r>
            <w:r w:rsidRPr="00EC14D3">
              <w:rPr>
                <w:rFonts w:ascii="Trebuchet MS" w:hAnsi="Trebuchet MS"/>
                <w:color w:val="0D0D0D"/>
                <w:sz w:val="24"/>
                <w:szCs w:val="24"/>
                <w:lang w:val="en-GB"/>
              </w:rPr>
              <w:t xml:space="preserve">the </w:t>
            </w:r>
            <w:r w:rsidR="00246917" w:rsidRPr="00EC14D3">
              <w:rPr>
                <w:rFonts w:ascii="Trebuchet MS" w:hAnsi="Trebuchet MS"/>
                <w:color w:val="0D0D0D"/>
                <w:sz w:val="24"/>
                <w:szCs w:val="24"/>
                <w:lang w:val="en-GB"/>
              </w:rPr>
              <w:t>MA</w:t>
            </w:r>
            <w:r w:rsidRPr="00EC14D3">
              <w:rPr>
                <w:rFonts w:ascii="Trebuchet MS" w:hAnsi="Trebuchet MS"/>
                <w:color w:val="0D0D0D"/>
                <w:sz w:val="24"/>
                <w:szCs w:val="24"/>
                <w:lang w:val="en-GB"/>
              </w:rPr>
              <w:t xml:space="preserve"> (via the JEMS system/e-mail) that the financing contract (ERDF) was signed by the last party. </w:t>
            </w:r>
            <w:r w:rsidR="0025550C" w:rsidRPr="00EC14D3">
              <w:rPr>
                <w:rFonts w:ascii="Trebuchet MS" w:hAnsi="Trebuchet MS"/>
                <w:color w:val="0D0D0D"/>
                <w:sz w:val="24"/>
                <w:szCs w:val="24"/>
                <w:lang w:val="en-GB"/>
              </w:rPr>
              <w:t xml:space="preserve">Moreover, the </w:t>
            </w:r>
            <w:r w:rsidR="00A459F0" w:rsidRPr="00EC14D3">
              <w:rPr>
                <w:rFonts w:ascii="Trebuchet MS" w:hAnsi="Trebuchet MS"/>
                <w:color w:val="0D0D0D"/>
                <w:sz w:val="24"/>
                <w:szCs w:val="24"/>
                <w:lang w:val="en-GB"/>
              </w:rPr>
              <w:t>JS</w:t>
            </w:r>
            <w:r w:rsidR="0025550C" w:rsidRPr="00EC14D3">
              <w:rPr>
                <w:rFonts w:ascii="Trebuchet MS" w:hAnsi="Trebuchet MS"/>
                <w:color w:val="0D0D0D"/>
                <w:sz w:val="24"/>
                <w:szCs w:val="24"/>
                <w:lang w:val="en-GB"/>
              </w:rPr>
              <w:t xml:space="preserve"> will verified to see if the due lump sum was assigned to the project. </w:t>
            </w:r>
            <w:r w:rsidRPr="00EC14D3">
              <w:rPr>
                <w:rFonts w:ascii="Trebuchet MS" w:hAnsi="Trebuchet MS"/>
                <w:color w:val="0D0D0D"/>
                <w:sz w:val="24"/>
                <w:szCs w:val="24"/>
                <w:lang w:val="en-GB"/>
              </w:rPr>
              <w:t xml:space="preserve">The </w:t>
            </w:r>
            <w:r w:rsidR="00246917" w:rsidRPr="00EC14D3">
              <w:rPr>
                <w:rFonts w:ascii="Trebuchet MS" w:hAnsi="Trebuchet MS"/>
                <w:color w:val="0D0D0D"/>
                <w:sz w:val="24"/>
                <w:szCs w:val="24"/>
                <w:lang w:val="en-GB"/>
              </w:rPr>
              <w:t>MA</w:t>
            </w:r>
            <w:r w:rsidRPr="00EC14D3">
              <w:rPr>
                <w:rFonts w:ascii="Trebuchet MS" w:hAnsi="Trebuchet MS"/>
                <w:color w:val="0D0D0D"/>
                <w:sz w:val="24"/>
                <w:szCs w:val="24"/>
                <w:lang w:val="en-GB"/>
              </w:rPr>
              <w:t xml:space="preserve"> will check in the JEMS system that the financing contract exists and is signed by </w:t>
            </w:r>
            <w:r w:rsidR="00246917" w:rsidRPr="00EC14D3">
              <w:rPr>
                <w:rFonts w:ascii="Trebuchet MS" w:hAnsi="Trebuchet MS"/>
                <w:color w:val="0D0D0D"/>
                <w:sz w:val="24"/>
                <w:szCs w:val="24"/>
                <w:lang w:val="en-GB"/>
              </w:rPr>
              <w:t>the last party</w:t>
            </w:r>
            <w:r w:rsidRPr="00EC14D3">
              <w:rPr>
                <w:rFonts w:ascii="Trebuchet MS" w:hAnsi="Trebuchet MS"/>
                <w:color w:val="0D0D0D"/>
                <w:sz w:val="24"/>
                <w:szCs w:val="24"/>
                <w:lang w:val="en-GB"/>
              </w:rPr>
              <w:t xml:space="preserve">. </w:t>
            </w:r>
            <w:r w:rsidR="00246917" w:rsidRPr="00EC14D3">
              <w:rPr>
                <w:rFonts w:ascii="Trebuchet MS" w:hAnsi="Trebuchet MS"/>
                <w:b/>
                <w:color w:val="0D0D0D"/>
                <w:sz w:val="24"/>
                <w:szCs w:val="24"/>
                <w:lang w:val="en-GB"/>
              </w:rPr>
              <w:t xml:space="preserve">Based on the </w:t>
            </w:r>
            <w:r w:rsidR="00333692" w:rsidRPr="00EC14D3">
              <w:rPr>
                <w:rFonts w:ascii="Trebuchet MS" w:hAnsi="Trebuchet MS"/>
                <w:b/>
                <w:color w:val="0D0D0D"/>
                <w:sz w:val="24"/>
                <w:szCs w:val="24"/>
                <w:lang w:val="en-GB"/>
              </w:rPr>
              <w:t>achievement of predefined output</w:t>
            </w:r>
            <w:r w:rsidR="00333692" w:rsidRPr="00EC14D3">
              <w:rPr>
                <w:rFonts w:ascii="Trebuchet MS" w:hAnsi="Trebuchet MS"/>
                <w:color w:val="0D0D0D"/>
                <w:sz w:val="24"/>
                <w:szCs w:val="24"/>
                <w:lang w:val="en-GB"/>
              </w:rPr>
              <w:t xml:space="preserve"> (condition triggering the payment of the lump sum for project preparation)</w:t>
            </w:r>
            <w:r w:rsidRPr="00EC14D3">
              <w:rPr>
                <w:rFonts w:ascii="Trebuchet MS" w:hAnsi="Trebuchet MS"/>
                <w:color w:val="0D0D0D"/>
                <w:sz w:val="24"/>
                <w:szCs w:val="24"/>
                <w:lang w:val="en-GB"/>
              </w:rPr>
              <w:t xml:space="preserve">, </w:t>
            </w:r>
            <w:r w:rsidR="00333692" w:rsidRPr="00EC14D3">
              <w:rPr>
                <w:rFonts w:ascii="Trebuchet MS" w:hAnsi="Trebuchet MS"/>
                <w:b/>
                <w:color w:val="0D0D0D"/>
                <w:sz w:val="24"/>
                <w:szCs w:val="24"/>
                <w:lang w:val="en-GB"/>
              </w:rPr>
              <w:t>the lump sum for project preparation will be reimbursed to the Lead partner</w:t>
            </w:r>
            <w:r w:rsidR="00333692" w:rsidRPr="00EC14D3">
              <w:rPr>
                <w:rFonts w:ascii="Trebuchet MS" w:hAnsi="Trebuchet MS"/>
                <w:color w:val="0D0D0D"/>
                <w:sz w:val="24"/>
                <w:szCs w:val="24"/>
                <w:lang w:val="en-GB"/>
              </w:rPr>
              <w:t xml:space="preserve"> and distributed in partnership based on the project partnership agreement. </w:t>
            </w:r>
          </w:p>
        </w:tc>
      </w:tr>
      <w:tr w:rsidR="00D73FD6" w:rsidRPr="00EC14D3" w14:paraId="7C76FC20" w14:textId="77777777" w:rsidTr="00A0651E">
        <w:tc>
          <w:tcPr>
            <w:tcW w:w="2268" w:type="dxa"/>
          </w:tcPr>
          <w:p w14:paraId="08079CFA" w14:textId="1552FA99" w:rsidR="00D73FD6" w:rsidRPr="00EC14D3" w:rsidRDefault="00D73FD6" w:rsidP="001063A3">
            <w:pPr>
              <w:spacing w:before="120"/>
              <w:jc w:val="both"/>
              <w:rPr>
                <w:rFonts w:ascii="Trebuchet MS" w:hAnsi="Trebuchet MS"/>
                <w:color w:val="0D0D0D"/>
                <w:sz w:val="24"/>
                <w:szCs w:val="24"/>
                <w:lang w:val="en-GB"/>
              </w:rPr>
            </w:pPr>
            <w:r w:rsidRPr="00EC14D3">
              <w:rPr>
                <w:rFonts w:ascii="Trebuchet MS" w:hAnsi="Trebuchet MS"/>
                <w:b/>
                <w:color w:val="0D0D0D"/>
                <w:sz w:val="24"/>
                <w:szCs w:val="24"/>
                <w:lang w:val="en-GB"/>
              </w:rPr>
              <w:t>Milestone</w:t>
            </w:r>
          </w:p>
          <w:p w14:paraId="271DE5CF" w14:textId="77777777" w:rsidR="00D73FD6" w:rsidRPr="00EC14D3" w:rsidRDefault="00D73FD6" w:rsidP="001063A3">
            <w:pPr>
              <w:spacing w:before="120"/>
              <w:jc w:val="both"/>
              <w:rPr>
                <w:rFonts w:ascii="Trebuchet MS" w:hAnsi="Trebuchet MS"/>
                <w:color w:val="0D0D0D"/>
                <w:sz w:val="24"/>
                <w:szCs w:val="24"/>
                <w:lang w:val="en-GB"/>
              </w:rPr>
            </w:pPr>
          </w:p>
        </w:tc>
        <w:tc>
          <w:tcPr>
            <w:tcW w:w="7797" w:type="dxa"/>
          </w:tcPr>
          <w:p w14:paraId="4486A50F" w14:textId="7FCFACCA" w:rsidR="00D73FD6" w:rsidRPr="00EC14D3" w:rsidRDefault="00B267DA" w:rsidP="00B267DA">
            <w:pPr>
              <w:pStyle w:val="Default"/>
              <w:spacing w:before="120" w:after="120"/>
              <w:jc w:val="both"/>
              <w:rPr>
                <w:rFonts w:ascii="Trebuchet MS" w:hAnsi="Trebuchet MS"/>
                <w:color w:val="0D0D0D"/>
                <w:lang w:val="en-GB"/>
              </w:rPr>
            </w:pPr>
            <w:r w:rsidRPr="00EC14D3">
              <w:rPr>
                <w:rFonts w:ascii="Trebuchet MS" w:hAnsi="Trebuchet MS"/>
                <w:color w:val="0D0D0D"/>
                <w:lang w:val="en-GB"/>
              </w:rPr>
              <w:t>N/A</w:t>
            </w:r>
          </w:p>
        </w:tc>
      </w:tr>
      <w:tr w:rsidR="00D73FD6" w:rsidRPr="00EC14D3" w14:paraId="2F554B49" w14:textId="77777777" w:rsidTr="00A0651E">
        <w:tc>
          <w:tcPr>
            <w:tcW w:w="2268" w:type="dxa"/>
          </w:tcPr>
          <w:p w14:paraId="0A71C423" w14:textId="2C42EF96" w:rsidR="00D73FD6" w:rsidRPr="00EC14D3" w:rsidRDefault="00D73FD6" w:rsidP="001063A3">
            <w:pPr>
              <w:spacing w:before="120"/>
              <w:jc w:val="both"/>
              <w:rPr>
                <w:rFonts w:ascii="Trebuchet MS" w:hAnsi="Trebuchet MS"/>
                <w:b/>
                <w:color w:val="0D0D0D"/>
                <w:sz w:val="24"/>
                <w:szCs w:val="24"/>
                <w:lang w:val="en-GB"/>
              </w:rPr>
            </w:pPr>
            <w:r w:rsidRPr="00EC14D3">
              <w:rPr>
                <w:rFonts w:ascii="Trebuchet MS" w:hAnsi="Trebuchet MS"/>
                <w:b/>
                <w:color w:val="0D0D0D"/>
                <w:sz w:val="24"/>
                <w:szCs w:val="24"/>
                <w:lang w:val="en-GB"/>
              </w:rPr>
              <w:t>Deliverable</w:t>
            </w:r>
          </w:p>
        </w:tc>
        <w:tc>
          <w:tcPr>
            <w:tcW w:w="7797" w:type="dxa"/>
          </w:tcPr>
          <w:p w14:paraId="07DC73DB" w14:textId="7ED8142D" w:rsidR="00D73FD6" w:rsidRPr="00EC14D3" w:rsidRDefault="00626AEE" w:rsidP="00305356">
            <w:pPr>
              <w:pStyle w:val="Default"/>
              <w:spacing w:before="120" w:after="120"/>
              <w:jc w:val="both"/>
              <w:rPr>
                <w:rFonts w:ascii="Trebuchet MS" w:hAnsi="Trebuchet MS"/>
                <w:color w:val="0D0D0D"/>
                <w:lang w:val="en-GB"/>
              </w:rPr>
            </w:pPr>
            <w:r w:rsidRPr="00EC14D3">
              <w:rPr>
                <w:rFonts w:ascii="Trebuchet MS" w:hAnsi="Trebuchet MS"/>
                <w:color w:val="0D0D0D"/>
                <w:lang w:val="en-GB"/>
              </w:rPr>
              <w:t xml:space="preserve">Monitoring Committee decision for project </w:t>
            </w:r>
            <w:r w:rsidR="0083766F" w:rsidRPr="00EC14D3">
              <w:rPr>
                <w:rFonts w:ascii="Trebuchet MS" w:hAnsi="Trebuchet MS"/>
                <w:color w:val="0D0D0D"/>
                <w:lang w:val="en-GB"/>
              </w:rPr>
              <w:t>selection</w:t>
            </w:r>
            <w:r w:rsidR="00EE5CB4" w:rsidRPr="00EC14D3">
              <w:rPr>
                <w:rFonts w:ascii="Trebuchet MS" w:hAnsi="Trebuchet MS"/>
                <w:color w:val="0D0D0D"/>
                <w:lang w:val="en-GB"/>
              </w:rPr>
              <w:t xml:space="preserve"> for financing</w:t>
            </w:r>
            <w:r w:rsidRPr="00EC14D3">
              <w:rPr>
                <w:rFonts w:ascii="Trebuchet MS" w:hAnsi="Trebuchet MS"/>
                <w:color w:val="0D0D0D"/>
                <w:lang w:val="en-GB"/>
              </w:rPr>
              <w:t xml:space="preserve"> and </w:t>
            </w:r>
            <w:r w:rsidR="0083766F" w:rsidRPr="00EC14D3">
              <w:rPr>
                <w:rFonts w:ascii="Trebuchet MS" w:hAnsi="Trebuchet MS"/>
                <w:color w:val="0D0D0D"/>
                <w:lang w:val="en-GB"/>
              </w:rPr>
              <w:t xml:space="preserve">signed </w:t>
            </w:r>
            <w:r w:rsidRPr="00EC14D3">
              <w:rPr>
                <w:rFonts w:ascii="Trebuchet MS" w:hAnsi="Trebuchet MS"/>
                <w:color w:val="0D0D0D"/>
                <w:lang w:val="en-GB"/>
              </w:rPr>
              <w:t>financing contract.</w:t>
            </w:r>
          </w:p>
        </w:tc>
      </w:tr>
      <w:tr w:rsidR="00D73FD6" w:rsidRPr="00EC14D3" w14:paraId="31E9773A" w14:textId="77777777" w:rsidTr="00A0651E">
        <w:tc>
          <w:tcPr>
            <w:tcW w:w="2268" w:type="dxa"/>
          </w:tcPr>
          <w:p w14:paraId="7636083B" w14:textId="1AAA0176" w:rsidR="00D73FD6" w:rsidRPr="00EC14D3" w:rsidRDefault="00D73FD6" w:rsidP="00411187">
            <w:pPr>
              <w:spacing w:before="120"/>
              <w:jc w:val="both"/>
              <w:rPr>
                <w:rFonts w:ascii="Trebuchet MS" w:hAnsi="Trebuchet MS"/>
                <w:b/>
                <w:color w:val="0D0D0D"/>
                <w:sz w:val="24"/>
                <w:szCs w:val="24"/>
                <w:lang w:val="en-GB"/>
              </w:rPr>
            </w:pPr>
            <w:r w:rsidRPr="00EC14D3">
              <w:rPr>
                <w:rFonts w:ascii="Trebuchet MS" w:hAnsi="Trebuchet MS"/>
                <w:b/>
                <w:color w:val="0D0D0D"/>
                <w:sz w:val="24"/>
                <w:szCs w:val="24"/>
                <w:lang w:val="en-GB"/>
              </w:rPr>
              <w:t xml:space="preserve">Actual payment of the lump sum for </w:t>
            </w:r>
            <w:r w:rsidR="00D73BB5" w:rsidRPr="00EC14D3">
              <w:rPr>
                <w:rFonts w:ascii="Trebuchet MS" w:hAnsi="Trebuchet MS"/>
                <w:b/>
                <w:color w:val="0D0D0D"/>
                <w:sz w:val="24"/>
                <w:szCs w:val="24"/>
                <w:lang w:val="en-GB"/>
              </w:rPr>
              <w:t xml:space="preserve">project </w:t>
            </w:r>
            <w:r w:rsidR="00411187" w:rsidRPr="00EC14D3">
              <w:rPr>
                <w:rFonts w:ascii="Trebuchet MS" w:hAnsi="Trebuchet MS"/>
                <w:b/>
                <w:color w:val="0D0D0D"/>
                <w:sz w:val="24"/>
                <w:szCs w:val="24"/>
                <w:lang w:val="en-GB"/>
              </w:rPr>
              <w:t>preparation</w:t>
            </w:r>
          </w:p>
        </w:tc>
        <w:tc>
          <w:tcPr>
            <w:tcW w:w="7797" w:type="dxa"/>
          </w:tcPr>
          <w:p w14:paraId="5CAE9DD2" w14:textId="12089002" w:rsidR="00D73FD6" w:rsidRPr="00EC14D3" w:rsidRDefault="00D73FD6" w:rsidP="00933001">
            <w:pPr>
              <w:spacing w:before="120" w:after="120"/>
              <w:jc w:val="both"/>
              <w:rPr>
                <w:rFonts w:ascii="Trebuchet MS" w:hAnsi="Trebuchet MS"/>
                <w:color w:val="0D0D0D"/>
                <w:lang w:val="en-GB"/>
              </w:rPr>
            </w:pPr>
            <w:r w:rsidRPr="00EC14D3">
              <w:rPr>
                <w:rFonts w:ascii="Trebuchet MS" w:hAnsi="Trebuchet MS"/>
                <w:color w:val="0D0D0D"/>
                <w:sz w:val="24"/>
                <w:szCs w:val="24"/>
                <w:lang w:val="en-GB"/>
              </w:rPr>
              <w:t xml:space="preserve">Based </w:t>
            </w:r>
            <w:r w:rsidR="00431288" w:rsidRPr="00EC14D3">
              <w:rPr>
                <w:rFonts w:ascii="Trebuchet MS" w:hAnsi="Trebuchet MS"/>
                <w:color w:val="0D0D0D"/>
                <w:sz w:val="24"/>
                <w:szCs w:val="24"/>
                <w:lang w:val="en-GB"/>
              </w:rPr>
              <w:t xml:space="preserve">on </w:t>
            </w:r>
            <w:r w:rsidR="00933001" w:rsidRPr="00EC14D3">
              <w:rPr>
                <w:rFonts w:ascii="Trebuchet MS" w:hAnsi="Trebuchet MS"/>
                <w:color w:val="0D0D0D"/>
                <w:sz w:val="24"/>
                <w:szCs w:val="24"/>
                <w:lang w:val="en-GB"/>
              </w:rPr>
              <w:t xml:space="preserve">the verifications performed by the Joint Secretariat and based on the confirmation of the achievement of pre-defined output, the Project Authorizing Unit within MA will authorize the payment and the MA </w:t>
            </w:r>
            <w:r w:rsidR="00DB5D9A" w:rsidRPr="00EC14D3">
              <w:rPr>
                <w:rFonts w:ascii="Trebuchet MS" w:hAnsi="Trebuchet MS"/>
                <w:color w:val="0D0D0D"/>
                <w:sz w:val="24"/>
                <w:szCs w:val="24"/>
                <w:lang w:val="en-GB"/>
              </w:rPr>
              <w:t>Accounting Unit will pay the lump sum for</w:t>
            </w:r>
            <w:r w:rsidR="00A65B2E" w:rsidRPr="00EC14D3">
              <w:rPr>
                <w:rFonts w:ascii="Trebuchet MS" w:hAnsi="Trebuchet MS"/>
                <w:color w:val="0D0D0D"/>
                <w:sz w:val="24"/>
                <w:szCs w:val="24"/>
                <w:lang w:val="en-GB"/>
              </w:rPr>
              <w:t xml:space="preserve"> project</w:t>
            </w:r>
            <w:r w:rsidR="00DB5D9A" w:rsidRPr="00EC14D3">
              <w:rPr>
                <w:rFonts w:ascii="Trebuchet MS" w:hAnsi="Trebuchet MS"/>
                <w:color w:val="0D0D0D"/>
                <w:sz w:val="24"/>
                <w:szCs w:val="24"/>
                <w:lang w:val="en-GB"/>
              </w:rPr>
              <w:t xml:space="preserve"> preparation. </w:t>
            </w:r>
          </w:p>
        </w:tc>
      </w:tr>
      <w:tr w:rsidR="00D73FD6" w:rsidRPr="00EC14D3" w14:paraId="508E7057" w14:textId="77777777" w:rsidTr="00A0651E">
        <w:tc>
          <w:tcPr>
            <w:tcW w:w="2268" w:type="dxa"/>
          </w:tcPr>
          <w:p w14:paraId="7A1893C8" w14:textId="77777777" w:rsidR="00D73FD6" w:rsidRPr="00EC14D3" w:rsidRDefault="00D73FD6" w:rsidP="001063A3">
            <w:pPr>
              <w:spacing w:before="120"/>
              <w:jc w:val="both"/>
              <w:rPr>
                <w:rFonts w:ascii="Trebuchet MS" w:hAnsi="Trebuchet MS"/>
                <w:b/>
                <w:color w:val="0D0D0D"/>
                <w:sz w:val="24"/>
                <w:szCs w:val="24"/>
                <w:lang w:val="en-GB"/>
              </w:rPr>
            </w:pPr>
            <w:r w:rsidRPr="00EC14D3">
              <w:rPr>
                <w:rFonts w:ascii="Trebuchet MS" w:hAnsi="Trebuchet MS"/>
                <w:b/>
                <w:color w:val="0D0D0D"/>
                <w:sz w:val="24"/>
                <w:szCs w:val="24"/>
                <w:lang w:val="en-GB"/>
              </w:rPr>
              <w:t>What to do in order to avoid double financing?</w:t>
            </w:r>
          </w:p>
        </w:tc>
        <w:tc>
          <w:tcPr>
            <w:tcW w:w="7797" w:type="dxa"/>
          </w:tcPr>
          <w:p w14:paraId="05BD7717" w14:textId="45E5FBBE" w:rsidR="00D73FD6" w:rsidRPr="00EC14D3" w:rsidRDefault="000F24EF" w:rsidP="00AB16AF">
            <w:pPr>
              <w:spacing w:before="120" w:after="120"/>
              <w:jc w:val="both"/>
              <w:rPr>
                <w:rFonts w:ascii="Trebuchet MS" w:hAnsi="Trebuchet MS"/>
                <w:color w:val="0D0D0D"/>
                <w:lang w:val="en-GB"/>
              </w:rPr>
            </w:pPr>
            <w:r w:rsidRPr="00EC14D3">
              <w:rPr>
                <w:rFonts w:ascii="Trebuchet MS" w:hAnsi="Trebuchet MS"/>
                <w:color w:val="0D0D0D"/>
                <w:sz w:val="24"/>
                <w:szCs w:val="24"/>
                <w:lang w:val="en-GB"/>
              </w:rPr>
              <w:t>In order to avoid duplication of costs, the further verifications performed by the controllers (Romanian and Bulgarian) will check</w:t>
            </w:r>
            <w:r w:rsidR="00210792" w:rsidRPr="00EC14D3">
              <w:rPr>
                <w:rFonts w:ascii="Trebuchet MS" w:hAnsi="Trebuchet MS"/>
                <w:color w:val="0D0D0D"/>
                <w:sz w:val="24"/>
                <w:szCs w:val="24"/>
                <w:lang w:val="en-GB"/>
              </w:rPr>
              <w:t xml:space="preserve"> and confirm</w:t>
            </w:r>
            <w:r w:rsidRPr="00EC14D3">
              <w:rPr>
                <w:rFonts w:ascii="Trebuchet MS" w:hAnsi="Trebuchet MS"/>
                <w:color w:val="0D0D0D"/>
                <w:sz w:val="24"/>
                <w:szCs w:val="24"/>
                <w:lang w:val="en-GB"/>
              </w:rPr>
              <w:t xml:space="preserve"> that no expenditure incurred and paid from the 1</w:t>
            </w:r>
            <w:r w:rsidRPr="00EC14D3">
              <w:rPr>
                <w:rFonts w:ascii="Trebuchet MS" w:hAnsi="Trebuchet MS"/>
                <w:color w:val="0D0D0D"/>
                <w:sz w:val="24"/>
                <w:szCs w:val="24"/>
                <w:vertAlign w:val="superscript"/>
                <w:lang w:val="en-GB"/>
              </w:rPr>
              <w:t>st</w:t>
            </w:r>
            <w:r w:rsidRPr="00EC14D3">
              <w:rPr>
                <w:rFonts w:ascii="Trebuchet MS" w:hAnsi="Trebuchet MS"/>
                <w:color w:val="0D0D0D"/>
                <w:sz w:val="24"/>
                <w:szCs w:val="24"/>
                <w:lang w:val="en-GB"/>
              </w:rPr>
              <w:t xml:space="preserve"> of January 2021 and the date of selection for financing of the application </w:t>
            </w:r>
            <w:r w:rsidR="00303125" w:rsidRPr="00EC14D3">
              <w:rPr>
                <w:rFonts w:ascii="Trebuchet MS" w:hAnsi="Trebuchet MS"/>
                <w:color w:val="0D0D0D"/>
                <w:sz w:val="24"/>
                <w:szCs w:val="24"/>
                <w:lang w:val="en-GB"/>
              </w:rPr>
              <w:t>is</w:t>
            </w:r>
            <w:r w:rsidRPr="00EC14D3">
              <w:rPr>
                <w:rFonts w:ascii="Trebuchet MS" w:hAnsi="Trebuchet MS"/>
                <w:color w:val="0D0D0D"/>
                <w:sz w:val="24"/>
                <w:szCs w:val="24"/>
                <w:lang w:val="en-GB"/>
              </w:rPr>
              <w:t xml:space="preserve"> included in the </w:t>
            </w:r>
            <w:r w:rsidR="00210792" w:rsidRPr="00EC14D3">
              <w:rPr>
                <w:rFonts w:ascii="Trebuchet MS" w:hAnsi="Trebuchet MS"/>
                <w:color w:val="0D0D0D"/>
                <w:sz w:val="24"/>
                <w:szCs w:val="24"/>
                <w:lang w:val="en-GB"/>
              </w:rPr>
              <w:t xml:space="preserve">other </w:t>
            </w:r>
            <w:r w:rsidRPr="00EC14D3">
              <w:rPr>
                <w:rFonts w:ascii="Trebuchet MS" w:hAnsi="Trebuchet MS"/>
                <w:color w:val="0D0D0D"/>
                <w:sz w:val="24"/>
                <w:szCs w:val="24"/>
                <w:lang w:val="en-GB"/>
              </w:rPr>
              <w:t>partner reports (the requests to the RO/BG control)</w:t>
            </w:r>
            <w:r w:rsidR="004B2601" w:rsidRPr="00EC14D3">
              <w:rPr>
                <w:rFonts w:ascii="Trebuchet MS" w:hAnsi="Trebuchet MS"/>
                <w:color w:val="0D0D0D"/>
                <w:sz w:val="24"/>
                <w:szCs w:val="24"/>
                <w:lang w:val="en-GB"/>
              </w:rPr>
              <w:t>, except those expenditure for project preparation based on real costs</w:t>
            </w:r>
            <w:r w:rsidR="00BE3A83" w:rsidRPr="00EC14D3">
              <w:rPr>
                <w:rFonts w:ascii="Trebuchet MS" w:hAnsi="Trebuchet MS"/>
                <w:color w:val="0D0D0D"/>
                <w:sz w:val="24"/>
                <w:szCs w:val="24"/>
                <w:lang w:val="en-GB"/>
              </w:rPr>
              <w:t>,</w:t>
            </w:r>
            <w:r w:rsidR="00382A17" w:rsidRPr="00EC14D3">
              <w:rPr>
                <w:rFonts w:ascii="Trebuchet MS" w:hAnsi="Trebuchet MS"/>
                <w:color w:val="0D0D0D"/>
                <w:sz w:val="24"/>
                <w:szCs w:val="24"/>
                <w:lang w:val="en-GB"/>
              </w:rPr>
              <w:t xml:space="preserve"> in case of strategic and investment projects</w:t>
            </w:r>
            <w:r w:rsidR="004B2601" w:rsidRPr="00EC14D3">
              <w:rPr>
                <w:rFonts w:ascii="Trebuchet MS" w:hAnsi="Trebuchet MS"/>
                <w:color w:val="0D0D0D"/>
                <w:sz w:val="24"/>
                <w:szCs w:val="24"/>
                <w:lang w:val="en-GB"/>
              </w:rPr>
              <w:t xml:space="preserve"> (</w:t>
            </w:r>
            <w:r w:rsidR="00AB16AF" w:rsidRPr="00EC14D3">
              <w:rPr>
                <w:rFonts w:ascii="Trebuchet MS" w:hAnsi="Trebuchet MS"/>
                <w:color w:val="0D0D0D"/>
                <w:sz w:val="24"/>
                <w:szCs w:val="24"/>
                <w:lang w:val="en-GB"/>
              </w:rPr>
              <w:t xml:space="preserve">respectively </w:t>
            </w:r>
            <w:r w:rsidR="004B2601" w:rsidRPr="00EC14D3">
              <w:rPr>
                <w:rFonts w:ascii="Trebuchet MS" w:hAnsi="Trebuchet MS"/>
                <w:color w:val="0D0D0D"/>
                <w:sz w:val="24"/>
                <w:szCs w:val="24"/>
                <w:lang w:val="en-GB"/>
              </w:rPr>
              <w:t xml:space="preserve">the costs of the annexes </w:t>
            </w:r>
            <w:r w:rsidR="00AB16AF" w:rsidRPr="00EC14D3">
              <w:rPr>
                <w:rFonts w:ascii="Trebuchet MS" w:hAnsi="Trebuchet MS"/>
                <w:color w:val="0D0D0D"/>
                <w:sz w:val="24"/>
                <w:szCs w:val="24"/>
                <w:lang w:val="en-GB"/>
              </w:rPr>
              <w:t xml:space="preserve">foreseen in the Applicant’s Guide, </w:t>
            </w:r>
            <w:r w:rsidR="004B2601" w:rsidRPr="00EC14D3">
              <w:rPr>
                <w:rFonts w:ascii="Trebuchet MS" w:hAnsi="Trebuchet MS"/>
                <w:color w:val="0D0D0D"/>
                <w:sz w:val="24"/>
                <w:szCs w:val="24"/>
                <w:lang w:val="en-GB"/>
              </w:rPr>
              <w:t xml:space="preserve">B. </w:t>
            </w:r>
            <w:r w:rsidR="004B2601" w:rsidRPr="00EC14D3">
              <w:rPr>
                <w:rFonts w:ascii="Trebuchet MS" w:hAnsi="Trebuchet MS"/>
                <w:color w:val="0D0D0D"/>
                <w:sz w:val="24"/>
                <w:szCs w:val="24"/>
                <w:lang w:val="en-GB"/>
              </w:rPr>
              <w:lastRenderedPageBreak/>
              <w:t xml:space="preserve">Documents to be submitted depending on the specificity of the application (non-exhaustive list): feasibility study or equivalent technical document, </w:t>
            </w:r>
            <w:r w:rsidR="00BA7038" w:rsidRPr="00EC14D3">
              <w:rPr>
                <w:rFonts w:ascii="Trebuchet MS" w:hAnsi="Trebuchet MS"/>
                <w:color w:val="0D0D0D"/>
                <w:sz w:val="24"/>
                <w:szCs w:val="24"/>
                <w:lang w:val="en-GB"/>
              </w:rPr>
              <w:t xml:space="preserve">Cost Benefit Analysis, </w:t>
            </w:r>
            <w:r w:rsidR="004B2601" w:rsidRPr="00EC14D3">
              <w:rPr>
                <w:rFonts w:ascii="Trebuchet MS" w:hAnsi="Trebuchet MS"/>
                <w:color w:val="0D0D0D"/>
                <w:sz w:val="24"/>
                <w:szCs w:val="24"/>
                <w:lang w:val="en-GB"/>
              </w:rPr>
              <w:t>studies and costs for documentation necessary to obtain the necessary endorsements and authorizations, documentation concerning the urban planning plan, impact assessments, location studies/appraisals, including their technical verification etc.</w:t>
            </w:r>
            <w:r w:rsidR="00CD20C7" w:rsidRPr="00EC14D3">
              <w:rPr>
                <w:rFonts w:ascii="Trebuchet MS" w:hAnsi="Trebuchet MS"/>
                <w:color w:val="0D0D0D"/>
                <w:sz w:val="24"/>
                <w:szCs w:val="24"/>
                <w:lang w:val="en-GB"/>
              </w:rPr>
              <w:t>)</w:t>
            </w:r>
            <w:r w:rsidRPr="00EC14D3">
              <w:rPr>
                <w:rFonts w:ascii="Trebuchet MS" w:hAnsi="Trebuchet MS"/>
                <w:color w:val="0D0D0D"/>
                <w:sz w:val="24"/>
                <w:szCs w:val="24"/>
                <w:lang w:val="en-GB"/>
              </w:rPr>
              <w:t xml:space="preserve">. </w:t>
            </w:r>
          </w:p>
        </w:tc>
      </w:tr>
      <w:tr w:rsidR="00D73FD6" w:rsidRPr="00EC14D3" w14:paraId="70BE1FD4" w14:textId="77777777" w:rsidTr="00A0651E">
        <w:tc>
          <w:tcPr>
            <w:tcW w:w="2268" w:type="dxa"/>
          </w:tcPr>
          <w:p w14:paraId="45F6747B" w14:textId="77777777" w:rsidR="00D73FD6" w:rsidRPr="00EC14D3" w:rsidRDefault="00D73FD6" w:rsidP="001063A3">
            <w:pPr>
              <w:spacing w:before="120"/>
              <w:jc w:val="both"/>
              <w:rPr>
                <w:rFonts w:ascii="Trebuchet MS" w:hAnsi="Trebuchet MS"/>
                <w:b/>
                <w:color w:val="0D0D0D"/>
                <w:sz w:val="24"/>
                <w:szCs w:val="24"/>
                <w:lang w:val="en-GB"/>
              </w:rPr>
            </w:pPr>
            <w:r w:rsidRPr="00EC14D3">
              <w:rPr>
                <w:rFonts w:ascii="Trebuchet MS" w:hAnsi="Trebuchet MS"/>
                <w:b/>
                <w:color w:val="0D0D0D"/>
                <w:sz w:val="24"/>
                <w:szCs w:val="24"/>
                <w:lang w:val="en-GB"/>
              </w:rPr>
              <w:lastRenderedPageBreak/>
              <w:t>Indexation</w:t>
            </w:r>
          </w:p>
        </w:tc>
        <w:tc>
          <w:tcPr>
            <w:tcW w:w="7797" w:type="dxa"/>
          </w:tcPr>
          <w:p w14:paraId="06B534FA" w14:textId="7446A378" w:rsidR="00D73FD6" w:rsidRPr="00EC14D3" w:rsidRDefault="000F24EF" w:rsidP="000715DE">
            <w:pPr>
              <w:spacing w:before="120" w:after="120"/>
              <w:jc w:val="both"/>
              <w:rPr>
                <w:rFonts w:ascii="Trebuchet MS" w:hAnsi="Trebuchet MS"/>
                <w:color w:val="0D0D0D"/>
                <w:sz w:val="24"/>
                <w:szCs w:val="24"/>
                <w:lang w:val="en-GB"/>
              </w:rPr>
            </w:pPr>
            <w:r w:rsidRPr="00EC14D3">
              <w:rPr>
                <w:rFonts w:ascii="Trebuchet MS" w:hAnsi="Trebuchet MS"/>
                <w:color w:val="0D0D0D"/>
                <w:sz w:val="24"/>
                <w:szCs w:val="24"/>
                <w:lang w:val="en-GB"/>
              </w:rPr>
              <w:t>N/A</w:t>
            </w:r>
          </w:p>
        </w:tc>
      </w:tr>
      <w:tr w:rsidR="006134EF" w:rsidRPr="00EC14D3" w14:paraId="1D34B9DC" w14:textId="77777777" w:rsidTr="00A0651E">
        <w:tc>
          <w:tcPr>
            <w:tcW w:w="2268" w:type="dxa"/>
          </w:tcPr>
          <w:p w14:paraId="0F86A4D8" w14:textId="68682FD5" w:rsidR="006134EF" w:rsidRPr="00EC14D3" w:rsidRDefault="006134EF" w:rsidP="006134EF">
            <w:pPr>
              <w:spacing w:before="120"/>
              <w:jc w:val="both"/>
              <w:rPr>
                <w:rFonts w:ascii="Trebuchet MS" w:hAnsi="Trebuchet MS"/>
                <w:b/>
                <w:color w:val="0D0D0D"/>
                <w:sz w:val="24"/>
                <w:szCs w:val="24"/>
                <w:lang w:val="en-GB"/>
              </w:rPr>
            </w:pPr>
            <w:r w:rsidRPr="00EC14D3">
              <w:rPr>
                <w:rFonts w:ascii="Trebuchet MS" w:hAnsi="Trebuchet MS"/>
                <w:b/>
                <w:color w:val="0D0D0D"/>
                <w:sz w:val="24"/>
                <w:szCs w:val="24"/>
                <w:lang w:val="en-GB"/>
              </w:rPr>
              <w:t>Scope of management verifications and audits</w:t>
            </w:r>
          </w:p>
        </w:tc>
        <w:tc>
          <w:tcPr>
            <w:tcW w:w="7797" w:type="dxa"/>
          </w:tcPr>
          <w:p w14:paraId="3B6E9AC8" w14:textId="402BE7D6" w:rsidR="006134EF" w:rsidRPr="00EC14D3" w:rsidRDefault="006134EF" w:rsidP="004D6AD5">
            <w:pPr>
              <w:pStyle w:val="Default"/>
              <w:spacing w:before="120" w:after="120"/>
              <w:jc w:val="both"/>
              <w:rPr>
                <w:lang w:val="en-GB"/>
              </w:rPr>
            </w:pPr>
            <w:r w:rsidRPr="00EC14D3">
              <w:rPr>
                <w:rFonts w:ascii="Trebuchet MS" w:hAnsi="Trebuchet MS" w:cs="Times New Roman"/>
                <w:color w:val="0D0D0D"/>
                <w:lang w:val="en-GB" w:eastAsia="en-US"/>
              </w:rPr>
              <w:t xml:space="preserve">The scope of management verifications and audits on the expenditure for reimbursement based on the present lump sum will cover only the outputs/deliverables mentioned above (project selected by the Monitoring Committee with a financing contract signed). Management verifications and audits will not cover the individual invoices and specific public procurement procedures underlying the expenditure reimbursed on the basis of simplified cost options. As a consequence, the underlying financial or procurement documents shall not be requested with a view to check the amounts (expenditure) incurred and paid by the beneficiary. </w:t>
            </w:r>
          </w:p>
        </w:tc>
      </w:tr>
      <w:tr w:rsidR="00793965" w:rsidRPr="00EC14D3" w14:paraId="67353E48" w14:textId="77777777" w:rsidTr="00A0651E">
        <w:tc>
          <w:tcPr>
            <w:tcW w:w="2268" w:type="dxa"/>
          </w:tcPr>
          <w:p w14:paraId="07DD44ED" w14:textId="257C05D6" w:rsidR="00793965" w:rsidRPr="00EC14D3" w:rsidRDefault="00793965" w:rsidP="006134EF">
            <w:pPr>
              <w:spacing w:before="120"/>
              <w:jc w:val="both"/>
              <w:rPr>
                <w:rFonts w:ascii="Trebuchet MS" w:hAnsi="Trebuchet MS"/>
                <w:b/>
                <w:color w:val="0D0D0D"/>
                <w:sz w:val="24"/>
                <w:szCs w:val="24"/>
                <w:lang w:val="en-GB"/>
              </w:rPr>
            </w:pPr>
            <w:r w:rsidRPr="00EC14D3">
              <w:rPr>
                <w:rFonts w:ascii="Trebuchet MS" w:hAnsi="Trebuchet MS"/>
                <w:b/>
                <w:color w:val="0D0D0D"/>
                <w:sz w:val="24"/>
                <w:szCs w:val="24"/>
                <w:lang w:val="en-GB"/>
              </w:rPr>
              <w:t>Non-eligibility of lump sum for project preparation</w:t>
            </w:r>
          </w:p>
        </w:tc>
        <w:tc>
          <w:tcPr>
            <w:tcW w:w="7797" w:type="dxa"/>
          </w:tcPr>
          <w:p w14:paraId="4EA9E7FA" w14:textId="194AE100" w:rsidR="00793965" w:rsidRPr="00EC14D3" w:rsidRDefault="00793965" w:rsidP="00793965">
            <w:pPr>
              <w:pStyle w:val="Default"/>
              <w:spacing w:before="120" w:after="120"/>
              <w:jc w:val="both"/>
              <w:rPr>
                <w:rFonts w:ascii="Trebuchet MS" w:hAnsi="Trebuchet MS" w:cs="Times New Roman"/>
                <w:color w:val="0D0D0D"/>
                <w:lang w:val="en-GB" w:eastAsia="en-US"/>
              </w:rPr>
            </w:pPr>
            <w:r w:rsidRPr="00EC14D3">
              <w:rPr>
                <w:rFonts w:ascii="Trebuchet MS" w:hAnsi="Trebuchet MS" w:cs="Times New Roman"/>
                <w:color w:val="0D0D0D"/>
                <w:lang w:val="en-GB" w:eastAsia="en-US"/>
              </w:rPr>
              <w:t xml:space="preserve">In case the project is cancelled/terminated, the lump sum for project preparation shall be considered an unduly paid amount and will be returned by the project partners to the Programme budget. </w:t>
            </w:r>
          </w:p>
        </w:tc>
      </w:tr>
      <w:tr w:rsidR="006134EF" w:rsidRPr="00EC14D3" w14:paraId="41C36B17" w14:textId="77777777" w:rsidTr="00A0651E">
        <w:tc>
          <w:tcPr>
            <w:tcW w:w="2268" w:type="dxa"/>
          </w:tcPr>
          <w:p w14:paraId="1EACACF7" w14:textId="3FD69956" w:rsidR="006134EF" w:rsidRPr="00EC14D3" w:rsidRDefault="006134EF" w:rsidP="006134EF">
            <w:pPr>
              <w:spacing w:before="120"/>
              <w:jc w:val="both"/>
              <w:rPr>
                <w:rFonts w:ascii="Trebuchet MS" w:hAnsi="Trebuchet MS"/>
                <w:b/>
                <w:color w:val="0D0D0D"/>
                <w:sz w:val="24"/>
                <w:szCs w:val="24"/>
                <w:lang w:val="en-GB"/>
              </w:rPr>
            </w:pPr>
            <w:r w:rsidRPr="00EC14D3">
              <w:rPr>
                <w:rFonts w:ascii="Trebuchet MS" w:hAnsi="Trebuchet MS"/>
                <w:b/>
                <w:color w:val="0D0D0D"/>
                <w:sz w:val="24"/>
                <w:szCs w:val="24"/>
                <w:lang w:val="en-GB"/>
              </w:rPr>
              <w:t>Others</w:t>
            </w:r>
          </w:p>
        </w:tc>
        <w:tc>
          <w:tcPr>
            <w:tcW w:w="7797" w:type="dxa"/>
          </w:tcPr>
          <w:p w14:paraId="61743288" w14:textId="590086D1" w:rsidR="006134EF" w:rsidRPr="00EC14D3" w:rsidRDefault="006134EF" w:rsidP="006134EF">
            <w:pPr>
              <w:spacing w:before="120" w:after="120"/>
              <w:jc w:val="both"/>
              <w:rPr>
                <w:rFonts w:ascii="Trebuchet MS" w:hAnsi="Trebuchet MS"/>
                <w:color w:val="0D0D0D"/>
                <w:sz w:val="24"/>
                <w:szCs w:val="24"/>
                <w:lang w:val="en-GB"/>
              </w:rPr>
            </w:pPr>
            <w:r w:rsidRPr="00EC14D3">
              <w:rPr>
                <w:rFonts w:ascii="Trebuchet MS" w:hAnsi="Trebuchet MS"/>
                <w:color w:val="0D0D0D"/>
                <w:sz w:val="24"/>
                <w:szCs w:val="24"/>
                <w:lang w:val="en-GB"/>
              </w:rPr>
              <w:t xml:space="preserve">The lump sum for project preparation will not be included in the basis for the flat rates used by the Programme (flat rate for staff costs, flat rate for travel and accommodation, flat rate for administration costs). Management verifications on the respective flat rates will include checks on the correct basis used for calculation (and the exclusion of project preparation lump sum). </w:t>
            </w:r>
          </w:p>
        </w:tc>
      </w:tr>
    </w:tbl>
    <w:p w14:paraId="39EC989C" w14:textId="77777777" w:rsidR="00D73FD6" w:rsidRPr="00EC14D3" w:rsidRDefault="00D73FD6" w:rsidP="0020544D">
      <w:pPr>
        <w:spacing w:before="120" w:line="360" w:lineRule="auto"/>
        <w:jc w:val="both"/>
        <w:rPr>
          <w:rFonts w:ascii="Trebuchet MS" w:hAnsi="Trebuchet MS"/>
          <w:color w:val="0D0D0D"/>
          <w:sz w:val="24"/>
          <w:szCs w:val="24"/>
          <w:lang w:val="en-GB"/>
        </w:rPr>
      </w:pPr>
    </w:p>
    <w:p w14:paraId="0A54D8FC" w14:textId="77777777" w:rsidR="00BC0EFE" w:rsidRPr="00EC14D3" w:rsidRDefault="00BC0EFE" w:rsidP="0020544D">
      <w:pPr>
        <w:spacing w:before="120" w:line="360" w:lineRule="auto"/>
        <w:jc w:val="both"/>
        <w:rPr>
          <w:rFonts w:ascii="Trebuchet MS" w:hAnsi="Trebuchet MS"/>
          <w:color w:val="0D0D0D"/>
          <w:sz w:val="24"/>
          <w:szCs w:val="24"/>
          <w:lang w:val="en-GB"/>
        </w:rPr>
      </w:pPr>
    </w:p>
    <w:sectPr w:rsidR="00BC0EFE" w:rsidRPr="00EC14D3" w:rsidSect="00A0651E">
      <w:footerReference w:type="default" r:id="rId8"/>
      <w:pgSz w:w="12240" w:h="15840"/>
      <w:pgMar w:top="1135" w:right="1440" w:bottom="709"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C61B29" w16cid:durableId="26A75A84"/>
  <w16cid:commentId w16cid:paraId="268E0F6B" w16cid:durableId="26A75B06"/>
  <w16cid:commentId w16cid:paraId="6FC4EA91" w16cid:durableId="26A75B67"/>
  <w16cid:commentId w16cid:paraId="5D8A39BB" w16cid:durableId="26A9CFC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5560A" w14:textId="77777777" w:rsidR="008D1703" w:rsidRDefault="008D1703" w:rsidP="0022603E">
      <w:r>
        <w:separator/>
      </w:r>
    </w:p>
  </w:endnote>
  <w:endnote w:type="continuationSeparator" w:id="0">
    <w:p w14:paraId="428F0BD7" w14:textId="77777777" w:rsidR="008D1703" w:rsidRDefault="008D1703" w:rsidP="00226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7235013"/>
      <w:docPartObj>
        <w:docPartGallery w:val="Page Numbers (Bottom of Page)"/>
        <w:docPartUnique/>
      </w:docPartObj>
    </w:sdtPr>
    <w:sdtEndPr>
      <w:rPr>
        <w:noProof/>
      </w:rPr>
    </w:sdtEndPr>
    <w:sdtContent>
      <w:p w14:paraId="628607DB" w14:textId="14143B35" w:rsidR="00305356" w:rsidRDefault="00305356">
        <w:pPr>
          <w:pStyle w:val="Footer"/>
          <w:jc w:val="right"/>
        </w:pPr>
        <w:r>
          <w:fldChar w:fldCharType="begin"/>
        </w:r>
        <w:r>
          <w:instrText xml:space="preserve"> PAGE   \* MERGEFORMAT </w:instrText>
        </w:r>
        <w:r>
          <w:fldChar w:fldCharType="separate"/>
        </w:r>
        <w:r w:rsidR="00A0651E">
          <w:rPr>
            <w:noProof/>
          </w:rPr>
          <w:t>4</w:t>
        </w:r>
        <w:r>
          <w:rPr>
            <w:noProof/>
          </w:rPr>
          <w:fldChar w:fldCharType="end"/>
        </w:r>
      </w:p>
    </w:sdtContent>
  </w:sdt>
  <w:p w14:paraId="0F7EDB08" w14:textId="77777777" w:rsidR="00305356" w:rsidRDefault="003053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FDFA6" w14:textId="77777777" w:rsidR="008D1703" w:rsidRDefault="008D1703" w:rsidP="0022603E">
      <w:r>
        <w:separator/>
      </w:r>
    </w:p>
  </w:footnote>
  <w:footnote w:type="continuationSeparator" w:id="0">
    <w:p w14:paraId="52F818AE" w14:textId="77777777" w:rsidR="008D1703" w:rsidRDefault="008D1703" w:rsidP="002260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A083A"/>
    <w:multiLevelType w:val="hybridMultilevel"/>
    <w:tmpl w:val="7C2C48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21647"/>
    <w:multiLevelType w:val="hybridMultilevel"/>
    <w:tmpl w:val="017675C2"/>
    <w:lvl w:ilvl="0" w:tplc="0DD880F0">
      <w:numFmt w:val="bullet"/>
      <w:lvlText w:val="-"/>
      <w:lvlJc w:val="left"/>
      <w:pPr>
        <w:ind w:left="720" w:hanging="360"/>
      </w:pPr>
      <w:rPr>
        <w:rFonts w:ascii="Trebuchet MS" w:eastAsiaTheme="minorHAns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30822"/>
    <w:multiLevelType w:val="hybridMultilevel"/>
    <w:tmpl w:val="9CA60374"/>
    <w:lvl w:ilvl="0" w:tplc="EC74CFDA">
      <w:start w:val="1"/>
      <w:numFmt w:val="lowerLetter"/>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43C52E6"/>
    <w:multiLevelType w:val="hybridMultilevel"/>
    <w:tmpl w:val="B234292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3271F5"/>
    <w:multiLevelType w:val="hybridMultilevel"/>
    <w:tmpl w:val="C41027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0507C5F"/>
    <w:multiLevelType w:val="hybridMultilevel"/>
    <w:tmpl w:val="17927A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D81892"/>
    <w:multiLevelType w:val="hybridMultilevel"/>
    <w:tmpl w:val="B2D2AB92"/>
    <w:lvl w:ilvl="0" w:tplc="66A2BE3C">
      <w:start w:val="1"/>
      <w:numFmt w:val="decimal"/>
      <w:lvlText w:val="%1."/>
      <w:lvlJc w:val="left"/>
      <w:pPr>
        <w:ind w:left="720" w:hanging="360"/>
      </w:pPr>
      <w:rPr>
        <w:rFonts w:hint="default"/>
        <w:color w:val="0D0D0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F5550"/>
    <w:multiLevelType w:val="hybridMultilevel"/>
    <w:tmpl w:val="C5D6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CC625A"/>
    <w:multiLevelType w:val="hybridMultilevel"/>
    <w:tmpl w:val="36305E9C"/>
    <w:lvl w:ilvl="0" w:tplc="20C8FB3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1F1DA7"/>
    <w:multiLevelType w:val="hybridMultilevel"/>
    <w:tmpl w:val="352648A6"/>
    <w:lvl w:ilvl="0" w:tplc="8A4C28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47F03F8"/>
    <w:multiLevelType w:val="hybridMultilevel"/>
    <w:tmpl w:val="C84CA2D2"/>
    <w:lvl w:ilvl="0" w:tplc="0409000B">
      <w:start w:val="1"/>
      <w:numFmt w:val="bullet"/>
      <w:lvlText w:val=""/>
      <w:lvlJc w:val="left"/>
      <w:pPr>
        <w:ind w:left="720" w:hanging="360"/>
      </w:pPr>
      <w:rPr>
        <w:rFonts w:ascii="Wingdings" w:hAnsi="Wingding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0"/>
  </w:num>
  <w:num w:numId="4">
    <w:abstractNumId w:val="2"/>
  </w:num>
  <w:num w:numId="5">
    <w:abstractNumId w:val="10"/>
  </w:num>
  <w:num w:numId="6">
    <w:abstractNumId w:val="4"/>
  </w:num>
  <w:num w:numId="7">
    <w:abstractNumId w:val="5"/>
  </w:num>
  <w:num w:numId="8">
    <w:abstractNumId w:val="3"/>
  </w:num>
  <w:num w:numId="9">
    <w:abstractNumId w:val="9"/>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C69"/>
    <w:rsid w:val="00015784"/>
    <w:rsid w:val="0001745D"/>
    <w:rsid w:val="00037AF0"/>
    <w:rsid w:val="00041035"/>
    <w:rsid w:val="00046C72"/>
    <w:rsid w:val="000635E9"/>
    <w:rsid w:val="000715DE"/>
    <w:rsid w:val="00073023"/>
    <w:rsid w:val="000753FC"/>
    <w:rsid w:val="00096D6C"/>
    <w:rsid w:val="000B687E"/>
    <w:rsid w:val="000D110B"/>
    <w:rsid w:val="000F24EF"/>
    <w:rsid w:val="000F414B"/>
    <w:rsid w:val="000F751F"/>
    <w:rsid w:val="00110DCF"/>
    <w:rsid w:val="001750F8"/>
    <w:rsid w:val="001A1A94"/>
    <w:rsid w:val="001A4114"/>
    <w:rsid w:val="001B2110"/>
    <w:rsid w:val="001D3337"/>
    <w:rsid w:val="001F0ABE"/>
    <w:rsid w:val="001F6AA5"/>
    <w:rsid w:val="002052AA"/>
    <w:rsid w:val="0020544D"/>
    <w:rsid w:val="00210792"/>
    <w:rsid w:val="00221F8F"/>
    <w:rsid w:val="0022603E"/>
    <w:rsid w:val="00226460"/>
    <w:rsid w:val="00235988"/>
    <w:rsid w:val="0024066A"/>
    <w:rsid w:val="00243740"/>
    <w:rsid w:val="00246917"/>
    <w:rsid w:val="0025550C"/>
    <w:rsid w:val="00256E92"/>
    <w:rsid w:val="00265279"/>
    <w:rsid w:val="0026655A"/>
    <w:rsid w:val="00294B00"/>
    <w:rsid w:val="002A0C00"/>
    <w:rsid w:val="002C200A"/>
    <w:rsid w:val="002C5D44"/>
    <w:rsid w:val="002F0273"/>
    <w:rsid w:val="002F4ACE"/>
    <w:rsid w:val="00303125"/>
    <w:rsid w:val="00305356"/>
    <w:rsid w:val="00312AD1"/>
    <w:rsid w:val="00333692"/>
    <w:rsid w:val="003350B0"/>
    <w:rsid w:val="00336040"/>
    <w:rsid w:val="00344325"/>
    <w:rsid w:val="00355894"/>
    <w:rsid w:val="003719C8"/>
    <w:rsid w:val="00371DE4"/>
    <w:rsid w:val="00374581"/>
    <w:rsid w:val="00382A17"/>
    <w:rsid w:val="00394D43"/>
    <w:rsid w:val="0039706F"/>
    <w:rsid w:val="003B0E6B"/>
    <w:rsid w:val="003D025B"/>
    <w:rsid w:val="003E3180"/>
    <w:rsid w:val="003F0587"/>
    <w:rsid w:val="003F4F3F"/>
    <w:rsid w:val="00403D12"/>
    <w:rsid w:val="00411187"/>
    <w:rsid w:val="00424716"/>
    <w:rsid w:val="00431288"/>
    <w:rsid w:val="00437CAE"/>
    <w:rsid w:val="004422F7"/>
    <w:rsid w:val="0047162C"/>
    <w:rsid w:val="00474C00"/>
    <w:rsid w:val="0048628C"/>
    <w:rsid w:val="004A09E6"/>
    <w:rsid w:val="004A6D5B"/>
    <w:rsid w:val="004B2601"/>
    <w:rsid w:val="004B7FA7"/>
    <w:rsid w:val="004C123D"/>
    <w:rsid w:val="004D41FC"/>
    <w:rsid w:val="004D4FA1"/>
    <w:rsid w:val="004D6AD5"/>
    <w:rsid w:val="004D7A51"/>
    <w:rsid w:val="005104DF"/>
    <w:rsid w:val="00510BEB"/>
    <w:rsid w:val="00511E76"/>
    <w:rsid w:val="00525B1B"/>
    <w:rsid w:val="00527D38"/>
    <w:rsid w:val="00542A69"/>
    <w:rsid w:val="00550FF1"/>
    <w:rsid w:val="00551A09"/>
    <w:rsid w:val="00557E0C"/>
    <w:rsid w:val="005703E9"/>
    <w:rsid w:val="005765DC"/>
    <w:rsid w:val="00582585"/>
    <w:rsid w:val="005A46FE"/>
    <w:rsid w:val="005A541E"/>
    <w:rsid w:val="005B4E5B"/>
    <w:rsid w:val="005E40A8"/>
    <w:rsid w:val="005E558D"/>
    <w:rsid w:val="005F6363"/>
    <w:rsid w:val="006134EF"/>
    <w:rsid w:val="00614A62"/>
    <w:rsid w:val="00626AEE"/>
    <w:rsid w:val="00633F28"/>
    <w:rsid w:val="00645E3A"/>
    <w:rsid w:val="0066293E"/>
    <w:rsid w:val="00683698"/>
    <w:rsid w:val="006D65FB"/>
    <w:rsid w:val="006F3C68"/>
    <w:rsid w:val="007050B8"/>
    <w:rsid w:val="00710EAC"/>
    <w:rsid w:val="00716E77"/>
    <w:rsid w:val="00717908"/>
    <w:rsid w:val="00717F3F"/>
    <w:rsid w:val="007328C5"/>
    <w:rsid w:val="0075783B"/>
    <w:rsid w:val="0076029D"/>
    <w:rsid w:val="00782819"/>
    <w:rsid w:val="00784055"/>
    <w:rsid w:val="00784B4F"/>
    <w:rsid w:val="00793965"/>
    <w:rsid w:val="007B3631"/>
    <w:rsid w:val="00801932"/>
    <w:rsid w:val="00810078"/>
    <w:rsid w:val="008267AA"/>
    <w:rsid w:val="00826E93"/>
    <w:rsid w:val="0083766F"/>
    <w:rsid w:val="00854A96"/>
    <w:rsid w:val="008660F6"/>
    <w:rsid w:val="00870D6A"/>
    <w:rsid w:val="00893353"/>
    <w:rsid w:val="008937E9"/>
    <w:rsid w:val="008C7EB0"/>
    <w:rsid w:val="008D1703"/>
    <w:rsid w:val="008D449F"/>
    <w:rsid w:val="00905C41"/>
    <w:rsid w:val="00920365"/>
    <w:rsid w:val="00925CE2"/>
    <w:rsid w:val="00933001"/>
    <w:rsid w:val="00947094"/>
    <w:rsid w:val="00947DDA"/>
    <w:rsid w:val="009677E1"/>
    <w:rsid w:val="009773B9"/>
    <w:rsid w:val="00981F1B"/>
    <w:rsid w:val="00990284"/>
    <w:rsid w:val="009953ED"/>
    <w:rsid w:val="009B717F"/>
    <w:rsid w:val="00A0651E"/>
    <w:rsid w:val="00A06F5B"/>
    <w:rsid w:val="00A27FEA"/>
    <w:rsid w:val="00A325F6"/>
    <w:rsid w:val="00A3452F"/>
    <w:rsid w:val="00A35184"/>
    <w:rsid w:val="00A459F0"/>
    <w:rsid w:val="00A5451F"/>
    <w:rsid w:val="00A65B2E"/>
    <w:rsid w:val="00A754F6"/>
    <w:rsid w:val="00AA6AC6"/>
    <w:rsid w:val="00AA7684"/>
    <w:rsid w:val="00AB16AF"/>
    <w:rsid w:val="00AC7ACB"/>
    <w:rsid w:val="00AD5151"/>
    <w:rsid w:val="00AF5061"/>
    <w:rsid w:val="00B008FF"/>
    <w:rsid w:val="00B04C38"/>
    <w:rsid w:val="00B13914"/>
    <w:rsid w:val="00B24770"/>
    <w:rsid w:val="00B267DA"/>
    <w:rsid w:val="00B60200"/>
    <w:rsid w:val="00B66D89"/>
    <w:rsid w:val="00B67A8C"/>
    <w:rsid w:val="00B71626"/>
    <w:rsid w:val="00B77D90"/>
    <w:rsid w:val="00B80B14"/>
    <w:rsid w:val="00B8176F"/>
    <w:rsid w:val="00B90859"/>
    <w:rsid w:val="00BA7038"/>
    <w:rsid w:val="00BB28CF"/>
    <w:rsid w:val="00BB2C69"/>
    <w:rsid w:val="00BB73C0"/>
    <w:rsid w:val="00BC0EFE"/>
    <w:rsid w:val="00BC39F7"/>
    <w:rsid w:val="00BE3A83"/>
    <w:rsid w:val="00BF47E8"/>
    <w:rsid w:val="00BF7EFC"/>
    <w:rsid w:val="00C01008"/>
    <w:rsid w:val="00C06D0F"/>
    <w:rsid w:val="00C16E2A"/>
    <w:rsid w:val="00C459B1"/>
    <w:rsid w:val="00C57F1B"/>
    <w:rsid w:val="00C61279"/>
    <w:rsid w:val="00C66ADD"/>
    <w:rsid w:val="00C76D25"/>
    <w:rsid w:val="00C87016"/>
    <w:rsid w:val="00C90D03"/>
    <w:rsid w:val="00C93B21"/>
    <w:rsid w:val="00CD20C7"/>
    <w:rsid w:val="00CD2886"/>
    <w:rsid w:val="00CF548A"/>
    <w:rsid w:val="00D379E4"/>
    <w:rsid w:val="00D73BB5"/>
    <w:rsid w:val="00D73FD6"/>
    <w:rsid w:val="00D75D1F"/>
    <w:rsid w:val="00D76ABF"/>
    <w:rsid w:val="00D77B4D"/>
    <w:rsid w:val="00D95AB4"/>
    <w:rsid w:val="00D962A3"/>
    <w:rsid w:val="00DA0B65"/>
    <w:rsid w:val="00DB5D9A"/>
    <w:rsid w:val="00DC61A1"/>
    <w:rsid w:val="00DD7B8A"/>
    <w:rsid w:val="00E05EF0"/>
    <w:rsid w:val="00E23CED"/>
    <w:rsid w:val="00E31CEC"/>
    <w:rsid w:val="00E348CF"/>
    <w:rsid w:val="00E53684"/>
    <w:rsid w:val="00E54665"/>
    <w:rsid w:val="00E91069"/>
    <w:rsid w:val="00EB0B6A"/>
    <w:rsid w:val="00EC14D3"/>
    <w:rsid w:val="00EC343F"/>
    <w:rsid w:val="00ED085A"/>
    <w:rsid w:val="00ED3D95"/>
    <w:rsid w:val="00EE5CB4"/>
    <w:rsid w:val="00F4413C"/>
    <w:rsid w:val="00F46AA1"/>
    <w:rsid w:val="00F54A95"/>
    <w:rsid w:val="00F61A27"/>
    <w:rsid w:val="00F657A1"/>
    <w:rsid w:val="00FA3A27"/>
    <w:rsid w:val="00FC6FA0"/>
    <w:rsid w:val="00FD76EA"/>
    <w:rsid w:val="00FE3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3F3C2"/>
  <w15:docId w15:val="{A38E98E7-9393-4EBE-8BFE-0B70554D9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200"/>
    <w:pPr>
      <w:spacing w:after="0" w:line="240" w:lineRule="auto"/>
    </w:pPr>
    <w:rPr>
      <w:rFonts w:ascii="Calibri" w:hAnsi="Calibri"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200"/>
    <w:pPr>
      <w:ind w:left="720"/>
      <w:contextualSpacing/>
    </w:pPr>
  </w:style>
  <w:style w:type="paragraph" w:styleId="Header">
    <w:name w:val="header"/>
    <w:basedOn w:val="Normal"/>
    <w:link w:val="HeaderChar"/>
    <w:uiPriority w:val="99"/>
    <w:unhideWhenUsed/>
    <w:rsid w:val="0022603E"/>
    <w:pPr>
      <w:tabs>
        <w:tab w:val="center" w:pos="4680"/>
        <w:tab w:val="right" w:pos="9360"/>
      </w:tabs>
    </w:pPr>
  </w:style>
  <w:style w:type="character" w:customStyle="1" w:styleId="HeaderChar">
    <w:name w:val="Header Char"/>
    <w:basedOn w:val="DefaultParagraphFont"/>
    <w:link w:val="Header"/>
    <w:uiPriority w:val="99"/>
    <w:rsid w:val="0022603E"/>
    <w:rPr>
      <w:rFonts w:ascii="Calibri" w:hAnsi="Calibri" w:cs="Times New Roman"/>
      <w:lang w:val="en-US" w:eastAsia="en-US"/>
    </w:rPr>
  </w:style>
  <w:style w:type="paragraph" w:styleId="Footer">
    <w:name w:val="footer"/>
    <w:basedOn w:val="Normal"/>
    <w:link w:val="FooterChar"/>
    <w:uiPriority w:val="99"/>
    <w:unhideWhenUsed/>
    <w:rsid w:val="0022603E"/>
    <w:pPr>
      <w:tabs>
        <w:tab w:val="center" w:pos="4680"/>
        <w:tab w:val="right" w:pos="9360"/>
      </w:tabs>
    </w:pPr>
  </w:style>
  <w:style w:type="character" w:customStyle="1" w:styleId="FooterChar">
    <w:name w:val="Footer Char"/>
    <w:basedOn w:val="DefaultParagraphFont"/>
    <w:link w:val="Footer"/>
    <w:uiPriority w:val="99"/>
    <w:rsid w:val="0022603E"/>
    <w:rPr>
      <w:rFonts w:ascii="Calibri" w:hAnsi="Calibri" w:cs="Times New Roman"/>
      <w:lang w:val="en-US" w:eastAsia="en-US"/>
    </w:rPr>
  </w:style>
  <w:style w:type="paragraph" w:styleId="BalloonText">
    <w:name w:val="Balloon Text"/>
    <w:basedOn w:val="Normal"/>
    <w:link w:val="BalloonTextChar"/>
    <w:uiPriority w:val="99"/>
    <w:semiHidden/>
    <w:unhideWhenUsed/>
    <w:rsid w:val="0022603E"/>
    <w:rPr>
      <w:rFonts w:ascii="Tahoma" w:hAnsi="Tahoma" w:cs="Tahoma"/>
      <w:sz w:val="16"/>
      <w:szCs w:val="16"/>
    </w:rPr>
  </w:style>
  <w:style w:type="character" w:customStyle="1" w:styleId="BalloonTextChar">
    <w:name w:val="Balloon Text Char"/>
    <w:basedOn w:val="DefaultParagraphFont"/>
    <w:link w:val="BalloonText"/>
    <w:uiPriority w:val="99"/>
    <w:semiHidden/>
    <w:rsid w:val="0022603E"/>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3719C8"/>
    <w:rPr>
      <w:sz w:val="16"/>
      <w:szCs w:val="16"/>
    </w:rPr>
  </w:style>
  <w:style w:type="paragraph" w:styleId="CommentText">
    <w:name w:val="annotation text"/>
    <w:basedOn w:val="Normal"/>
    <w:link w:val="CommentTextChar"/>
    <w:uiPriority w:val="99"/>
    <w:semiHidden/>
    <w:unhideWhenUsed/>
    <w:rsid w:val="003719C8"/>
    <w:rPr>
      <w:sz w:val="20"/>
      <w:szCs w:val="20"/>
    </w:rPr>
  </w:style>
  <w:style w:type="character" w:customStyle="1" w:styleId="CommentTextChar">
    <w:name w:val="Comment Text Char"/>
    <w:basedOn w:val="DefaultParagraphFont"/>
    <w:link w:val="CommentText"/>
    <w:uiPriority w:val="99"/>
    <w:semiHidden/>
    <w:rsid w:val="003719C8"/>
    <w:rPr>
      <w:rFonts w:ascii="Calibri" w:hAnsi="Calibri"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3719C8"/>
    <w:rPr>
      <w:b/>
      <w:bCs/>
    </w:rPr>
  </w:style>
  <w:style w:type="character" w:customStyle="1" w:styleId="CommentSubjectChar">
    <w:name w:val="Comment Subject Char"/>
    <w:basedOn w:val="CommentTextChar"/>
    <w:link w:val="CommentSubject"/>
    <w:uiPriority w:val="99"/>
    <w:semiHidden/>
    <w:rsid w:val="003719C8"/>
    <w:rPr>
      <w:rFonts w:ascii="Calibri" w:hAnsi="Calibri" w:cs="Times New Roman"/>
      <w:b/>
      <w:bCs/>
      <w:sz w:val="20"/>
      <w:szCs w:val="20"/>
      <w:lang w:val="en-US" w:eastAsia="en-US"/>
    </w:rPr>
  </w:style>
  <w:style w:type="paragraph" w:customStyle="1" w:styleId="Guidelines5">
    <w:name w:val="Guidelines 5"/>
    <w:basedOn w:val="Normal"/>
    <w:rsid w:val="001B2110"/>
    <w:pPr>
      <w:keepNext/>
      <w:spacing w:before="240" w:after="240"/>
      <w:jc w:val="both"/>
    </w:pPr>
    <w:rPr>
      <w:rFonts w:ascii="Verdana" w:eastAsia="Times New Roman" w:hAnsi="Verdana"/>
      <w:b/>
      <w:noProof/>
      <w:snapToGrid w:val="0"/>
      <w:sz w:val="24"/>
      <w:szCs w:val="20"/>
      <w:lang w:val="ro-RO"/>
    </w:rPr>
  </w:style>
  <w:style w:type="paragraph" w:customStyle="1" w:styleId="Default">
    <w:name w:val="Default"/>
    <w:rsid w:val="00716E77"/>
    <w:pPr>
      <w:autoSpaceDE w:val="0"/>
      <w:autoSpaceDN w:val="0"/>
      <w:adjustRightInd w:val="0"/>
      <w:spacing w:after="0" w:line="240" w:lineRule="auto"/>
    </w:pPr>
    <w:rPr>
      <w:rFonts w:ascii="Verdana" w:hAnsi="Verdana" w:cs="Verdana"/>
      <w:color w:val="000000"/>
      <w:sz w:val="24"/>
      <w:szCs w:val="24"/>
      <w:lang w:val="en-US"/>
    </w:rPr>
  </w:style>
  <w:style w:type="table" w:styleId="TableGrid">
    <w:name w:val="Table Grid"/>
    <w:basedOn w:val="TableNormal"/>
    <w:uiPriority w:val="59"/>
    <w:rsid w:val="00D7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9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93BF3-0E42-40C5-A698-A6A4649AF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1324</Words>
  <Characters>7551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Varnaiote</dc:creator>
  <cp:keywords/>
  <dc:description/>
  <cp:lastModifiedBy>Mariuca Carmaciu</cp:lastModifiedBy>
  <cp:revision>3</cp:revision>
  <dcterms:created xsi:type="dcterms:W3CDTF">2023-04-05T12:58:00Z</dcterms:created>
  <dcterms:modified xsi:type="dcterms:W3CDTF">2023-04-05T13:02:00Z</dcterms:modified>
</cp:coreProperties>
</file>