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4"/>
        <w:gridCol w:w="1871"/>
        <w:gridCol w:w="730"/>
        <w:gridCol w:w="9858"/>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r w:rsidRPr="00227684">
              <w:rPr>
                <w:color w:val="1F3864" w:themeColor="accent5" w:themeShade="80"/>
                <w:sz w:val="22"/>
                <w:szCs w:val="22"/>
                <w:lang w:val="en-US"/>
              </w:rPr>
              <w:t>Annex</w:t>
            </w:r>
            <w:r w:rsidR="004B1A26">
              <w:rPr>
                <w:color w:val="1F3864" w:themeColor="accent5" w:themeShade="80"/>
                <w:sz w:val="22"/>
                <w:szCs w:val="22"/>
                <w:lang w:val="en-US"/>
              </w:rPr>
              <w:t xml:space="preserve"> AG_D</w:t>
            </w:r>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r w:rsidRPr="006D788C">
              <w:rPr>
                <w:b/>
                <w:color w:val="FF0000"/>
                <w:lang w:val="en-US"/>
              </w:rPr>
              <w:t xml:space="preserve">check the </w:t>
            </w:r>
            <w:r w:rsidRPr="006D788C">
              <w:rPr>
                <w:color w:val="1F3864" w:themeColor="accent5" w:themeShade="80"/>
                <w:lang w:val="en-US"/>
              </w:rPr>
              <w:t xml:space="preserv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 xml:space="preserve">check the SEA indicators you have to </w:t>
            </w:r>
            <w:bookmarkStart w:id="1" w:name="_GoBack"/>
            <w:r w:rsidRPr="006D788C">
              <w:rPr>
                <w:b/>
                <w:color w:val="FF0000"/>
                <w:lang w:val="en-US"/>
              </w:rPr>
              <w:t>r</w:t>
            </w:r>
            <w:bookmarkEnd w:id="1"/>
            <w:r w:rsidRPr="006D788C">
              <w:rPr>
                <w:b/>
                <w:color w:val="FF0000"/>
                <w:lang w:val="en-US"/>
              </w:rPr>
              <w:t>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r>
              <w:rPr>
                <w:b/>
                <w:color w:val="FF0000"/>
                <w:lang w:val="en-US"/>
              </w:rPr>
              <w:t xml:space="preserve">check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ll these shall be check during the assessment process by the Assessment Committee and followed during the project implementation by the Programme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railway modernization (including electrification of the railway lines and introduction of the ERTMS / ETCS railway signalling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joint co-ordinated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behavioural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Supporting water and land management through green solutions (for example: swales, creek restoration and nature scaping,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Protection and restoration of nature and biodiversity, located within and near settlements through appropriate joint solutions, including through the creation of ecological corridors, green bridges, eco- passages, green infrastructure,  ecoducts,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Raising awareness of the benefits of green spaces, including in urban areas, encouraging local actions for greener settlements and rehabilitation of brownfields, driving behavioural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digitised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cross-border internship or placements and student exchange programmes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Joint measures for improving the link between the labour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Developing the Eurovelo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necessary cycling infrastructure, including safety measures, first aid and service points, signalling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EuroVelo Route, in view of complying with standards related to traffic signalling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appropriate services along the EuroVelo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modernisation of productive facilities; supply of relevant equipment; adoption of digital technologies etc;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Set-up of natural sites for economic use: trails / paths, waste disposal, security, signalling, camp sites, other open-air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libraries, art collections/galleries, exhibitions places, wineries, agro-farms (e.g.; lavender farms/fields; roses farms/fields, traditional oil factories, sheepfolds), adventure parks, open 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valorise potentially valuable touristic objectives /sites / experiences, including by creating sustainable tourism trails, or developing quality labels for excellence in services, promoting and marketing the touristic offer etc. taking advantage of social media trends – such as “insta-tourism”,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r w:rsidRPr="000E0527">
              <w:rPr>
                <w:color w:val="1F3864" w:themeColor="accent5" w:themeShade="80"/>
                <w:sz w:val="22"/>
                <w:szCs w:val="22"/>
                <w:lang w:val="en-US"/>
              </w:rPr>
              <w:t>Eurovelo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artificialization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 A12 și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in line with the national provisions, at the implementation of the Programme’s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River Basin Directorates – Bulgaria and Regional Inspectorate of Environment and Water – Veliko Tarnovo):</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implementation of projects and intentions that provide for the use and / or abstraction of surface and groundwater resulting from the implementation of the Programme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arising from the implementation of the Programme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accordance with the provisions of Article 116 of the Water Act, all waters and water bodies should be protected from pollution and damage. When implementing the Programme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of Art. 146 of the Water Act for construction in the flooded terraces of the rivers and the easement of the hydrotechnical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The requirements of Art. 44 and Art. 46 of the Water Act, in case of water abstraction and / or use of a water body, including art. 46, para 4 with regard to the discharge of domestic and faecal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he requirements of Art. 156e of the Law</w:t>
      </w:r>
      <w:r w:rsidRPr="001D2D5D">
        <w:rPr>
          <w:rFonts w:eastAsia="Calibri" w:cs="Times New Roman"/>
          <w:color w:val="1F3864" w:themeColor="accent5" w:themeShade="80"/>
          <w:szCs w:val="22"/>
          <w:lang w:val="bg-BG"/>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and measures under the Programme related to the construction of infrastructure sites need to comply with the existing enterprises with high / low risk potential on the territory of the Republic of Bulgaria, within the scope of the programme.</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Proposed indicators for monitoring the effects of the programme</w:t>
      </w:r>
      <w:bookmarkEnd w:id="3"/>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Applies only to the projects started after the programme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default" r:id="rId7"/>
      <w:footerReference w:type="default" r:id="rId8"/>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B1A26">
      <w:rPr>
        <w:caps/>
        <w:noProof/>
        <w:color w:val="5B9BD5" w:themeColor="accent1"/>
      </w:rPr>
      <w:t>16</w:t>
    </w:r>
    <w:r>
      <w:rPr>
        <w:caps/>
        <w:noProof/>
        <w:color w:val="5B9BD5" w:themeColor="accent1"/>
      </w:rPr>
      <w:fldChar w:fldCharType="end"/>
    </w:r>
  </w:p>
  <w:p w:rsidR="00D81729" w:rsidRDefault="00D8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See section 7.2.5 of the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Code of actions under which the measures will be implemented</w:t>
      </w:r>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Integrated solutions in construction such as bird nests and bat shelters. Some illustrative examples can be viewed here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Minimum level of artificialization = minimum footprint of the buildings, platforms, internal roads.</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1D2D5D" w:rsidP="001D2D5D">
    <w:pPr>
      <w:pStyle w:val="Header"/>
      <w:jc w:val="left"/>
    </w:pPr>
    <w:r>
      <w:rPr>
        <w:noProof/>
        <w:lang w:val="en-US"/>
      </w:rPr>
      <w:drawing>
        <wp:inline distT="0" distB="0" distL="0" distR="0" wp14:anchorId="3A5AFC15" wp14:editId="4F857630">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17.95pt;height:358.85pt" o:bullet="t">
        <v:imagedata r:id="rId1" o:title=""/>
      </v:shape>
    </w:pict>
  </w:numPicBullet>
  <w:abstractNum w:abstractNumId="0" w15:restartNumberingAfterBreak="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15:restartNumberingAfterBreak="0">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C525A"/>
    <w:rsid w:val="000E0527"/>
    <w:rsid w:val="000F4010"/>
    <w:rsid w:val="00123A0D"/>
    <w:rsid w:val="00154947"/>
    <w:rsid w:val="00195E47"/>
    <w:rsid w:val="001D2D5D"/>
    <w:rsid w:val="00223F12"/>
    <w:rsid w:val="00227684"/>
    <w:rsid w:val="00340FFF"/>
    <w:rsid w:val="0044675B"/>
    <w:rsid w:val="004B1A26"/>
    <w:rsid w:val="006D788C"/>
    <w:rsid w:val="00A17E7C"/>
    <w:rsid w:val="00B55C0D"/>
    <w:rsid w:val="00C5142B"/>
    <w:rsid w:val="00D81729"/>
    <w:rsid w:val="00E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4146</Words>
  <Characters>23634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3</cp:revision>
  <dcterms:created xsi:type="dcterms:W3CDTF">2023-10-06T07:04:00Z</dcterms:created>
  <dcterms:modified xsi:type="dcterms:W3CDTF">2024-03-20T10:22:00Z</dcterms:modified>
</cp:coreProperties>
</file>