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59E729" w14:textId="77777777" w:rsidR="00A80C73" w:rsidRPr="00D924E6" w:rsidRDefault="00A80C73" w:rsidP="00920551">
      <w:pPr>
        <w:spacing w:before="120" w:after="120"/>
        <w:jc w:val="center"/>
        <w:rPr>
          <w:rFonts w:ascii="Trebuchet MS" w:hAnsi="Trebuchet MS"/>
          <w:color w:val="1F4E79"/>
          <w:sz w:val="22"/>
          <w:szCs w:val="22"/>
          <w:lang w:val="en-GB"/>
        </w:rPr>
      </w:pPr>
      <w:r w:rsidRPr="00D924E6">
        <w:rPr>
          <w:rFonts w:ascii="Trebuchet MS" w:hAnsi="Trebuchet MS"/>
          <w:color w:val="1F4E79"/>
          <w:sz w:val="22"/>
          <w:szCs w:val="22"/>
          <w:lang w:val="en-GB"/>
        </w:rPr>
        <w:t>Annex</w:t>
      </w:r>
      <w:r w:rsidR="00CE4071" w:rsidRPr="00D924E6">
        <w:rPr>
          <w:rFonts w:ascii="Trebuchet MS" w:hAnsi="Trebuchet MS"/>
          <w:color w:val="1F4E79"/>
          <w:sz w:val="22"/>
          <w:szCs w:val="22"/>
          <w:lang w:val="en-GB"/>
        </w:rPr>
        <w:t xml:space="preserve"> AG_B</w:t>
      </w:r>
    </w:p>
    <w:p w14:paraId="7C05D08E" w14:textId="77777777" w:rsidR="00A80C73" w:rsidRDefault="00A80C73" w:rsidP="008E3909">
      <w:pPr>
        <w:spacing w:before="120" w:after="120"/>
        <w:jc w:val="center"/>
        <w:rPr>
          <w:rFonts w:ascii="Trebuchet MS" w:hAnsi="Trebuchet MS"/>
          <w:color w:val="1F4E79"/>
          <w:sz w:val="28"/>
          <w:szCs w:val="28"/>
          <w:lang w:val="en-GB"/>
        </w:rPr>
      </w:pPr>
    </w:p>
    <w:p w14:paraId="061ECE6D" w14:textId="77777777" w:rsidR="008E3909" w:rsidRPr="004A5019" w:rsidRDefault="00CE7AAC" w:rsidP="008E3909">
      <w:pPr>
        <w:spacing w:before="120" w:after="120"/>
        <w:jc w:val="center"/>
        <w:rPr>
          <w:rFonts w:ascii="Trebuchet MS" w:hAnsi="Trebuchet MS"/>
          <w:b/>
          <w:color w:val="1F4E79"/>
          <w:lang w:val="en-GB"/>
        </w:rPr>
      </w:pPr>
      <w:hyperlink r:id="rId8" w:history="1"/>
      <w:r w:rsidR="008E3909" w:rsidRPr="004A5019">
        <w:rPr>
          <w:rFonts w:ascii="Trebuchet MS" w:hAnsi="Trebuchet MS"/>
          <w:b/>
          <w:color w:val="1F4E79"/>
          <w:lang w:val="en-GB"/>
        </w:rPr>
        <w:t xml:space="preserve">LIST OF ELIGIBLE EXPENDITURES </w:t>
      </w:r>
    </w:p>
    <w:p w14:paraId="66E1E25E" w14:textId="77777777" w:rsidR="008E3909" w:rsidRDefault="008E3909" w:rsidP="008E3909">
      <w:pPr>
        <w:spacing w:before="120" w:after="120"/>
        <w:jc w:val="center"/>
        <w:rPr>
          <w:rFonts w:ascii="Trebuchet MS" w:hAnsi="Trebuchet MS"/>
          <w:b/>
          <w:color w:val="1F4E79"/>
        </w:rPr>
      </w:pPr>
      <w:r w:rsidRPr="004A5019">
        <w:rPr>
          <w:rFonts w:ascii="Trebuchet MS" w:hAnsi="Trebuchet MS"/>
          <w:b/>
          <w:color w:val="1F4E79"/>
        </w:rPr>
        <w:t>for INTERREG VI-A ROMANIA-BULGARIA PROGRAMME</w:t>
      </w:r>
    </w:p>
    <w:p w14:paraId="02B627E3" w14:textId="77777777" w:rsidR="000D3182" w:rsidRPr="004A5019" w:rsidRDefault="000D3182" w:rsidP="000D3182">
      <w:pPr>
        <w:spacing w:before="120" w:after="120"/>
        <w:rPr>
          <w:rFonts w:ascii="Trebuchet MS" w:hAnsi="Trebuchet MS"/>
          <w:b/>
          <w:color w:val="1F4E79"/>
        </w:rPr>
      </w:pPr>
    </w:p>
    <w:p w14:paraId="2124ECFC" w14:textId="77777777" w:rsidR="00384428" w:rsidRPr="004A5019" w:rsidRDefault="00384428" w:rsidP="00384428">
      <w:pPr>
        <w:keepNext/>
        <w:autoSpaceDE w:val="0"/>
        <w:autoSpaceDN w:val="0"/>
        <w:adjustRightInd w:val="0"/>
        <w:spacing w:before="120"/>
        <w:jc w:val="center"/>
        <w:rPr>
          <w:rFonts w:ascii="Trebuchet MS" w:hAnsi="Trebuchet MS"/>
          <w:b/>
          <w:bCs/>
          <w:iCs/>
          <w:color w:val="1F4E79"/>
          <w:sz w:val="28"/>
          <w:szCs w:val="28"/>
          <w:lang w:val="en-GB"/>
        </w:rPr>
      </w:pPr>
    </w:p>
    <w:p w14:paraId="20A437E6" w14:textId="77777777" w:rsidR="00384428" w:rsidRPr="004A5019" w:rsidRDefault="00C72F20" w:rsidP="00C23C49">
      <w:pPr>
        <w:keepNext/>
        <w:autoSpaceDE w:val="0"/>
        <w:autoSpaceDN w:val="0"/>
        <w:adjustRightInd w:val="0"/>
        <w:spacing w:before="120"/>
        <w:jc w:val="both"/>
        <w:rPr>
          <w:rFonts w:ascii="Trebuchet MS" w:hAnsi="Trebuchet MS"/>
          <w:color w:val="1F4E79"/>
          <w:sz w:val="22"/>
          <w:szCs w:val="22"/>
          <w:lang w:val="en-GB"/>
        </w:rPr>
      </w:pPr>
      <w:r w:rsidRPr="004A5019">
        <w:rPr>
          <w:rFonts w:ascii="Trebuchet MS" w:hAnsi="Trebuchet MS"/>
          <w:color w:val="1F4E79"/>
          <w:sz w:val="22"/>
          <w:szCs w:val="22"/>
          <w:lang w:val="en-GB"/>
        </w:rPr>
        <w:t>Having regard to:</w:t>
      </w:r>
    </w:p>
    <w:p w14:paraId="57012D72" w14:textId="77777777" w:rsidR="00897F89" w:rsidRPr="004A5019" w:rsidRDefault="00897F89" w:rsidP="00C23C49">
      <w:pPr>
        <w:keepNext/>
        <w:autoSpaceDE w:val="0"/>
        <w:autoSpaceDN w:val="0"/>
        <w:adjustRightInd w:val="0"/>
        <w:spacing w:before="120"/>
        <w:jc w:val="both"/>
        <w:rPr>
          <w:rFonts w:ascii="Trebuchet MS" w:hAnsi="Trebuchet MS"/>
          <w:color w:val="1F4E79"/>
          <w:sz w:val="22"/>
          <w:szCs w:val="22"/>
          <w:lang w:val="en-GB"/>
        </w:rPr>
      </w:pPr>
    </w:p>
    <w:p w14:paraId="633965C6" w14:textId="77777777" w:rsidR="002041D7" w:rsidRPr="004A5019" w:rsidRDefault="002041D7" w:rsidP="00897F89">
      <w:pPr>
        <w:pStyle w:val="Default"/>
        <w:jc w:val="both"/>
        <w:rPr>
          <w:rFonts w:ascii="Trebuchet MS" w:hAnsi="Trebuchet MS"/>
          <w:color w:val="1F4E79"/>
          <w:sz w:val="22"/>
          <w:szCs w:val="22"/>
          <w:lang w:val="en-GB"/>
        </w:rPr>
      </w:pPr>
      <w:r w:rsidRPr="004A5019">
        <w:rPr>
          <w:rFonts w:ascii="Trebuchet MS" w:hAnsi="Trebuchet MS"/>
          <w:color w:val="1F4E79"/>
          <w:sz w:val="22"/>
          <w:szCs w:val="22"/>
          <w:lang w:val="en-GB"/>
        </w:rPr>
        <w:t>Articles 63 to 68 of Regulation (EU) No 2021/1060 of the European Parliament and of the Council  of 24 June 2021 laying down common provisions on the European Regional Development Fund, the European Social Fund Plus, the Cohesion Fund, the Just Transition Fund and the European Maritime, Fisheries and Aquaculture Fund and financial rules for those and for the Asylum, Migration and Integration Fund, the Internal Security Fund and the Instrument for Financial Support for Border Management and Visa Policy</w:t>
      </w:r>
    </w:p>
    <w:p w14:paraId="2C024455" w14:textId="77777777" w:rsidR="00897F89" w:rsidRPr="004A5019" w:rsidRDefault="00897F89" w:rsidP="00897F89">
      <w:pPr>
        <w:pStyle w:val="Default"/>
        <w:jc w:val="both"/>
        <w:rPr>
          <w:rFonts w:ascii="Trebuchet MS" w:hAnsi="Trebuchet MS"/>
          <w:color w:val="1F4E79"/>
          <w:sz w:val="22"/>
          <w:szCs w:val="22"/>
          <w:lang w:val="en-GB"/>
        </w:rPr>
      </w:pPr>
    </w:p>
    <w:p w14:paraId="6E043DD4" w14:textId="77777777" w:rsidR="00A23CEF" w:rsidRPr="004A5019" w:rsidRDefault="00A23CEF" w:rsidP="00A23CEF">
      <w:pPr>
        <w:pStyle w:val="Default"/>
        <w:jc w:val="both"/>
        <w:rPr>
          <w:rFonts w:ascii="Trebuchet MS" w:hAnsi="Trebuchet MS"/>
          <w:color w:val="1F4E79"/>
          <w:sz w:val="22"/>
          <w:szCs w:val="22"/>
          <w:lang w:val="en-GB"/>
        </w:rPr>
      </w:pPr>
      <w:r w:rsidRPr="004A5019">
        <w:rPr>
          <w:rFonts w:ascii="Trebuchet MS" w:hAnsi="Trebuchet MS"/>
          <w:color w:val="1F4E79"/>
          <w:sz w:val="22"/>
          <w:szCs w:val="22"/>
          <w:lang w:val="en-GB"/>
        </w:rPr>
        <w:t>Regulation (EU) 2021/1058 of the European Parliament and of the Council of 24 June 2021 on the European Regional Development Fund and on the Cohesion Fund</w:t>
      </w:r>
    </w:p>
    <w:p w14:paraId="33C4DCC3" w14:textId="77777777" w:rsidR="00A23CEF" w:rsidRPr="004A5019" w:rsidRDefault="00A23CEF" w:rsidP="00897F89">
      <w:pPr>
        <w:pStyle w:val="Default"/>
        <w:jc w:val="both"/>
        <w:rPr>
          <w:rFonts w:ascii="Trebuchet MS" w:hAnsi="Trebuchet MS"/>
          <w:color w:val="1F4E79"/>
          <w:sz w:val="22"/>
          <w:szCs w:val="22"/>
          <w:lang w:val="en-GB"/>
        </w:rPr>
      </w:pPr>
    </w:p>
    <w:p w14:paraId="2255EA4D" w14:textId="77777777" w:rsidR="00897F89" w:rsidRPr="004A5019" w:rsidRDefault="00897F89" w:rsidP="00897F89">
      <w:pPr>
        <w:pStyle w:val="Default"/>
        <w:jc w:val="both"/>
        <w:rPr>
          <w:rFonts w:ascii="Trebuchet MS" w:hAnsi="Trebuchet MS"/>
          <w:color w:val="1F4E79"/>
          <w:sz w:val="22"/>
          <w:szCs w:val="22"/>
          <w:lang w:val="en-GB"/>
        </w:rPr>
      </w:pPr>
      <w:r w:rsidRPr="004A5019">
        <w:rPr>
          <w:rFonts w:ascii="Trebuchet MS" w:hAnsi="Trebuchet MS"/>
          <w:color w:val="1F4E79"/>
          <w:sz w:val="22"/>
          <w:szCs w:val="22"/>
          <w:lang w:val="en-GB"/>
        </w:rPr>
        <w:t>Articles 37 to 44 of Regulation (EU) No 2021/1059 of the European Parliament and of the Council of 24 June 2021on specific provisions for the European territorial cooperation goal (Interreg) supported by the European Regional Development Fund and external financing instruments</w:t>
      </w:r>
    </w:p>
    <w:p w14:paraId="0761773C" w14:textId="77777777" w:rsidR="004F0994" w:rsidRPr="004F0994" w:rsidRDefault="00B12487" w:rsidP="00CE7AAC">
      <w:pPr>
        <w:pStyle w:val="Default"/>
        <w:spacing w:before="240"/>
        <w:jc w:val="both"/>
        <w:rPr>
          <w:rFonts w:ascii="Trebuchet MS" w:hAnsi="Trebuchet MS"/>
          <w:color w:val="1F4E79"/>
          <w:sz w:val="22"/>
          <w:szCs w:val="22"/>
          <w:lang w:val="en-GB"/>
        </w:rPr>
      </w:pPr>
      <w:bookmarkStart w:id="0" w:name="_GoBack"/>
      <w:r w:rsidRPr="004A5019">
        <w:rPr>
          <w:rFonts w:ascii="Trebuchet MS" w:hAnsi="Trebuchet MS"/>
          <w:color w:val="1F4E79"/>
          <w:sz w:val="22"/>
          <w:szCs w:val="22"/>
          <w:lang w:val="en-GB"/>
        </w:rPr>
        <w:t>Regul</w:t>
      </w:r>
      <w:bookmarkEnd w:id="0"/>
      <w:r w:rsidRPr="004A5019">
        <w:rPr>
          <w:rFonts w:ascii="Trebuchet MS" w:hAnsi="Trebuchet MS"/>
          <w:color w:val="1F4E79"/>
          <w:sz w:val="22"/>
          <w:szCs w:val="22"/>
          <w:lang w:val="en-GB"/>
        </w:rPr>
        <w:t xml:space="preserve">ation </w:t>
      </w:r>
      <w:r w:rsidR="004F0994" w:rsidRPr="004F0994">
        <w:rPr>
          <w:rFonts w:ascii="Trebuchet MS" w:hAnsi="Trebuchet MS"/>
          <w:color w:val="1F4E79"/>
          <w:sz w:val="22"/>
          <w:szCs w:val="22"/>
          <w:lang w:val="en-GB"/>
        </w:rPr>
        <w:t xml:space="preserve">(EU, Euratom) </w:t>
      </w:r>
      <w:r w:rsidR="00B13F51">
        <w:rPr>
          <w:rFonts w:ascii="Trebuchet MS" w:hAnsi="Trebuchet MS"/>
          <w:color w:val="1F4E79"/>
          <w:sz w:val="22"/>
          <w:szCs w:val="22"/>
          <w:lang w:val="en-GB"/>
        </w:rPr>
        <w:t xml:space="preserve">No </w:t>
      </w:r>
      <w:r w:rsidR="004F0994" w:rsidRPr="004F0994">
        <w:rPr>
          <w:rFonts w:ascii="Trebuchet MS" w:hAnsi="Trebuchet MS"/>
          <w:color w:val="1F4E79"/>
          <w:sz w:val="22"/>
          <w:szCs w:val="22"/>
          <w:lang w:val="en-GB"/>
        </w:rPr>
        <w:t>2024/2509 OF THE EUROPEAN PARLIAMENT AND OF THE COUNCIL</w:t>
      </w:r>
      <w:r w:rsidR="00984677">
        <w:rPr>
          <w:rFonts w:ascii="Trebuchet MS" w:hAnsi="Trebuchet MS"/>
          <w:color w:val="1F4E79"/>
          <w:sz w:val="22"/>
          <w:szCs w:val="22"/>
          <w:lang w:val="en-GB"/>
        </w:rPr>
        <w:t xml:space="preserve"> </w:t>
      </w:r>
      <w:r w:rsidR="004F0994" w:rsidRPr="004F0994">
        <w:rPr>
          <w:rFonts w:ascii="Trebuchet MS" w:hAnsi="Trebuchet MS"/>
          <w:color w:val="1F4E79"/>
          <w:sz w:val="22"/>
          <w:szCs w:val="22"/>
          <w:lang w:val="en-GB"/>
        </w:rPr>
        <w:t>of 23 September 2024 on the financial rules applicable to the general budget of the Union</w:t>
      </w:r>
    </w:p>
    <w:p w14:paraId="33DC6863" w14:textId="77777777" w:rsidR="00B12487" w:rsidRPr="004A5019" w:rsidRDefault="00B12487" w:rsidP="00897F89">
      <w:pPr>
        <w:pStyle w:val="Default"/>
        <w:jc w:val="both"/>
        <w:rPr>
          <w:rFonts w:ascii="Trebuchet MS" w:hAnsi="Trebuchet MS"/>
          <w:color w:val="1F4E79"/>
          <w:sz w:val="22"/>
          <w:szCs w:val="22"/>
          <w:lang w:val="en-GB"/>
        </w:rPr>
      </w:pPr>
    </w:p>
    <w:p w14:paraId="299D6D8A" w14:textId="0C73BE25" w:rsidR="00B12487" w:rsidRPr="004A5019" w:rsidRDefault="00B12487" w:rsidP="00B12487">
      <w:pPr>
        <w:pStyle w:val="Default"/>
        <w:jc w:val="both"/>
        <w:rPr>
          <w:rFonts w:ascii="Trebuchet MS" w:hAnsi="Trebuchet MS"/>
          <w:color w:val="1F4E79"/>
          <w:sz w:val="22"/>
          <w:szCs w:val="22"/>
          <w:lang w:val="en-GB"/>
        </w:rPr>
      </w:pPr>
      <w:r w:rsidRPr="004A5019">
        <w:rPr>
          <w:rFonts w:ascii="Trebuchet MS" w:hAnsi="Trebuchet MS"/>
          <w:color w:val="1F4E79"/>
          <w:sz w:val="22"/>
          <w:szCs w:val="22"/>
          <w:lang w:val="en-GB"/>
        </w:rPr>
        <w:t>The Monitoring Committee of Interreg VI-A Romania-Bulgaria have adopted the following list of eligible expenditure for projects fin</w:t>
      </w:r>
      <w:r w:rsidR="00761DBB" w:rsidRPr="004A5019">
        <w:rPr>
          <w:rFonts w:ascii="Trebuchet MS" w:hAnsi="Trebuchet MS"/>
          <w:color w:val="1F4E79"/>
          <w:sz w:val="22"/>
          <w:szCs w:val="22"/>
          <w:lang w:val="en-GB"/>
        </w:rPr>
        <w:t xml:space="preserve">anced under </w:t>
      </w:r>
      <w:r w:rsidR="00F840D6">
        <w:rPr>
          <w:rFonts w:ascii="Trebuchet MS" w:hAnsi="Trebuchet MS"/>
          <w:color w:val="1F4E79"/>
          <w:sz w:val="22"/>
          <w:szCs w:val="22"/>
          <w:lang w:val="en-GB"/>
        </w:rPr>
        <w:t xml:space="preserve">Priority </w:t>
      </w:r>
      <w:r w:rsidR="005D3694">
        <w:rPr>
          <w:rFonts w:ascii="Trebuchet MS" w:hAnsi="Trebuchet MS"/>
          <w:color w:val="1F4E79"/>
          <w:sz w:val="22"/>
          <w:szCs w:val="22"/>
          <w:lang w:val="en-GB"/>
        </w:rPr>
        <w:t>4</w:t>
      </w:r>
      <w:r w:rsidR="005D3694" w:rsidRPr="004A5019">
        <w:rPr>
          <w:rFonts w:ascii="Trebuchet MS" w:hAnsi="Trebuchet MS"/>
          <w:color w:val="1F4E79"/>
          <w:sz w:val="22"/>
          <w:szCs w:val="22"/>
          <w:lang w:val="en-GB"/>
        </w:rPr>
        <w:t xml:space="preserve"> </w:t>
      </w:r>
      <w:r w:rsidR="001B360E" w:rsidRPr="004A5019">
        <w:rPr>
          <w:rFonts w:ascii="Trebuchet MS" w:hAnsi="Trebuchet MS"/>
          <w:color w:val="1F4E79"/>
          <w:sz w:val="22"/>
          <w:szCs w:val="22"/>
          <w:lang w:val="en-GB"/>
        </w:rPr>
        <w:t>of the Prog</w:t>
      </w:r>
      <w:r w:rsidR="001B360E" w:rsidRPr="0065704B">
        <w:rPr>
          <w:rFonts w:ascii="Trebuchet MS" w:hAnsi="Trebuchet MS"/>
          <w:color w:val="1F4E79"/>
          <w:sz w:val="22"/>
          <w:szCs w:val="22"/>
          <w:lang w:val="en-GB"/>
        </w:rPr>
        <w:t>ramme</w:t>
      </w:r>
      <w:r w:rsidR="003D4B89" w:rsidRPr="0065704B">
        <w:rPr>
          <w:rFonts w:ascii="Trebuchet MS" w:hAnsi="Trebuchet MS"/>
          <w:color w:val="1F4E79"/>
          <w:sz w:val="22"/>
          <w:szCs w:val="22"/>
          <w:lang w:val="en-GB"/>
        </w:rPr>
        <w:t xml:space="preserve">, except the Governance </w:t>
      </w:r>
      <w:r w:rsidR="003D4B89" w:rsidRPr="00CE7AAC">
        <w:rPr>
          <w:rFonts w:ascii="Trebuchet MS" w:hAnsi="Trebuchet MS"/>
          <w:color w:val="1F4E79"/>
          <w:sz w:val="22"/>
          <w:szCs w:val="22"/>
          <w:lang w:val="en-GB"/>
        </w:rPr>
        <w:t>Project</w:t>
      </w:r>
      <w:r w:rsidR="0065704B" w:rsidRPr="00CE7AAC">
        <w:rPr>
          <w:rFonts w:ascii="Trebuchet MS" w:hAnsi="Trebuchet MS"/>
          <w:color w:val="1F4E79"/>
          <w:sz w:val="22"/>
          <w:szCs w:val="22"/>
          <w:lang w:val="en-GB"/>
        </w:rPr>
        <w:t xml:space="preserve">. Additional, specific provisions may be </w:t>
      </w:r>
      <w:r w:rsidR="00023182" w:rsidRPr="00CE7AAC">
        <w:rPr>
          <w:rFonts w:ascii="Trebuchet MS" w:hAnsi="Trebuchet MS"/>
          <w:color w:val="1F4E79"/>
          <w:sz w:val="22"/>
          <w:szCs w:val="22"/>
          <w:lang w:val="en-GB"/>
        </w:rPr>
        <w:t>introduced</w:t>
      </w:r>
      <w:r w:rsidR="0065704B" w:rsidRPr="00CE7AAC">
        <w:rPr>
          <w:rFonts w:ascii="Trebuchet MS" w:hAnsi="Trebuchet MS"/>
          <w:color w:val="1F4E79"/>
          <w:sz w:val="22"/>
          <w:szCs w:val="22"/>
          <w:lang w:val="en-GB"/>
        </w:rPr>
        <w:t xml:space="preserve"> at a later stage, upon the launch of the call dedicated to SMEs.</w:t>
      </w:r>
    </w:p>
    <w:p w14:paraId="17801D3A" w14:textId="77777777" w:rsidR="00B12487" w:rsidRPr="004A5019" w:rsidRDefault="00B12487" w:rsidP="00897F89">
      <w:pPr>
        <w:pStyle w:val="Default"/>
        <w:jc w:val="both"/>
        <w:rPr>
          <w:rFonts w:ascii="Trebuchet MS" w:hAnsi="Trebuchet MS"/>
          <w:color w:val="1F4E79"/>
          <w:sz w:val="22"/>
          <w:szCs w:val="22"/>
          <w:lang w:val="en-GB"/>
        </w:rPr>
      </w:pPr>
    </w:p>
    <w:p w14:paraId="28EE0899" w14:textId="77777777" w:rsidR="001D5759" w:rsidRPr="004A5019" w:rsidRDefault="001D5759" w:rsidP="00A74BC1">
      <w:pPr>
        <w:spacing w:before="240" w:after="120"/>
        <w:jc w:val="both"/>
        <w:rPr>
          <w:rFonts w:ascii="Trebuchet MS" w:hAnsi="Trebuchet MS"/>
          <w:b/>
          <w:color w:val="1F4E79"/>
          <w:sz w:val="22"/>
          <w:szCs w:val="22"/>
          <w:lang w:val="en-GB"/>
        </w:rPr>
      </w:pPr>
      <w:r w:rsidRPr="004A5019">
        <w:rPr>
          <w:rFonts w:ascii="Trebuchet MS" w:hAnsi="Trebuchet MS"/>
          <w:b/>
          <w:color w:val="1F4E79"/>
          <w:sz w:val="22"/>
          <w:szCs w:val="22"/>
          <w:lang w:val="en-GB"/>
        </w:rPr>
        <w:t xml:space="preserve">Article 1. </w:t>
      </w:r>
    </w:p>
    <w:p w14:paraId="4ECC96D8" w14:textId="77777777" w:rsidR="0025203F" w:rsidRPr="004A5019" w:rsidRDefault="001D5759" w:rsidP="0043285E">
      <w:pPr>
        <w:numPr>
          <w:ilvl w:val="0"/>
          <w:numId w:val="1"/>
        </w:numPr>
        <w:autoSpaceDE w:val="0"/>
        <w:autoSpaceDN w:val="0"/>
        <w:adjustRightInd w:val="0"/>
        <w:spacing w:before="120" w:after="120"/>
        <w:jc w:val="both"/>
        <w:rPr>
          <w:rFonts w:ascii="Trebuchet MS" w:hAnsi="Trebuchet MS" w:cs="Trebuchet MS"/>
          <w:color w:val="1F4E79"/>
          <w:sz w:val="22"/>
          <w:szCs w:val="22"/>
          <w:lang w:val="en-GB"/>
        </w:rPr>
      </w:pPr>
      <w:r w:rsidRPr="004A5019">
        <w:rPr>
          <w:rFonts w:ascii="Trebuchet MS" w:hAnsi="Trebuchet MS"/>
          <w:color w:val="1F4E79"/>
          <w:sz w:val="22"/>
          <w:szCs w:val="22"/>
          <w:lang w:val="en-GB"/>
        </w:rPr>
        <w:t>Expenditure under Interreg V</w:t>
      </w:r>
      <w:r w:rsidR="0025203F" w:rsidRPr="004A5019">
        <w:rPr>
          <w:rFonts w:ascii="Trebuchet MS" w:hAnsi="Trebuchet MS"/>
          <w:color w:val="1F4E79"/>
          <w:sz w:val="22"/>
          <w:szCs w:val="22"/>
          <w:lang w:val="en-GB"/>
        </w:rPr>
        <w:t>I</w:t>
      </w:r>
      <w:r w:rsidRPr="004A5019">
        <w:rPr>
          <w:rFonts w:ascii="Trebuchet MS" w:hAnsi="Trebuchet MS"/>
          <w:color w:val="1F4E79"/>
          <w:sz w:val="22"/>
          <w:szCs w:val="22"/>
          <w:lang w:val="en-GB"/>
        </w:rPr>
        <w:t>-A Romania-Bulgaria Programme is considered eligible</w:t>
      </w:r>
      <w:r w:rsidR="0025203F" w:rsidRPr="004A5019">
        <w:rPr>
          <w:rFonts w:ascii="Trebuchet MS" w:hAnsi="Trebuchet MS"/>
          <w:color w:val="1F4E79"/>
          <w:sz w:val="22"/>
          <w:szCs w:val="22"/>
          <w:lang w:val="en-GB"/>
        </w:rPr>
        <w:t xml:space="preserve"> </w:t>
      </w:r>
      <w:r w:rsidR="0025203F" w:rsidRPr="002F0D4C">
        <w:rPr>
          <w:rFonts w:ascii="Trebuchet MS" w:hAnsi="Trebuchet MS"/>
          <w:color w:val="1F4E79"/>
          <w:sz w:val="22"/>
          <w:szCs w:val="22"/>
          <w:lang w:val="en-GB"/>
        </w:rPr>
        <w:t>when fulfilling</w:t>
      </w:r>
      <w:r w:rsidR="0025203F" w:rsidRPr="004A5019">
        <w:rPr>
          <w:rFonts w:ascii="Trebuchet MS" w:hAnsi="Trebuchet MS" w:cs="Trebuchet MS"/>
          <w:color w:val="1F4E79"/>
          <w:sz w:val="22"/>
          <w:szCs w:val="22"/>
          <w:lang w:val="en-GB"/>
        </w:rPr>
        <w:t xml:space="preserve"> all general eligibility requirements listed below, as follows: </w:t>
      </w:r>
    </w:p>
    <w:p w14:paraId="19C3BE54" w14:textId="77777777" w:rsidR="0025203F" w:rsidRPr="004A5019" w:rsidRDefault="0025203F" w:rsidP="0043285E">
      <w:pPr>
        <w:numPr>
          <w:ilvl w:val="0"/>
          <w:numId w:val="2"/>
        </w:numPr>
        <w:autoSpaceDE w:val="0"/>
        <w:autoSpaceDN w:val="0"/>
        <w:adjustRightInd w:val="0"/>
        <w:spacing w:before="120" w:after="120"/>
        <w:jc w:val="both"/>
        <w:rPr>
          <w:rFonts w:ascii="Trebuchet MS" w:hAnsi="Trebuchet MS" w:cs="Trebuchet MS"/>
          <w:color w:val="1F4E79"/>
          <w:sz w:val="22"/>
          <w:szCs w:val="22"/>
          <w:lang w:val="en-GB"/>
        </w:rPr>
      </w:pPr>
      <w:r w:rsidRPr="004A5019">
        <w:rPr>
          <w:rFonts w:ascii="Trebuchet MS" w:hAnsi="Trebuchet MS" w:cs="Trebuchet MS"/>
          <w:color w:val="1F4E79"/>
          <w:sz w:val="22"/>
          <w:szCs w:val="22"/>
          <w:lang w:val="en-GB"/>
        </w:rPr>
        <w:t>It relates to the costs of implementing a project according to the latest approved application form;</w:t>
      </w:r>
    </w:p>
    <w:p w14:paraId="05695889" w14:textId="77777777" w:rsidR="0025203F" w:rsidRPr="004A5019" w:rsidRDefault="0025203F" w:rsidP="0043285E">
      <w:pPr>
        <w:numPr>
          <w:ilvl w:val="0"/>
          <w:numId w:val="2"/>
        </w:numPr>
        <w:autoSpaceDE w:val="0"/>
        <w:autoSpaceDN w:val="0"/>
        <w:adjustRightInd w:val="0"/>
        <w:spacing w:before="120" w:after="120"/>
        <w:jc w:val="both"/>
        <w:rPr>
          <w:rFonts w:ascii="Trebuchet MS" w:hAnsi="Trebuchet MS" w:cs="Trebuchet MS"/>
          <w:color w:val="1F4E79"/>
          <w:sz w:val="22"/>
          <w:szCs w:val="22"/>
          <w:lang w:val="en-GB"/>
        </w:rPr>
      </w:pPr>
      <w:r w:rsidRPr="004A5019">
        <w:rPr>
          <w:rFonts w:ascii="Trebuchet MS" w:hAnsi="Trebuchet MS" w:cs="Trebuchet MS"/>
          <w:color w:val="1F4E79"/>
          <w:sz w:val="22"/>
          <w:szCs w:val="22"/>
          <w:lang w:val="en-GB"/>
        </w:rPr>
        <w:t>It relates to items that did not receive support from other EU funds or other contributions from third parties (so as to avoid double financing);</w:t>
      </w:r>
    </w:p>
    <w:p w14:paraId="35764634" w14:textId="77777777" w:rsidR="0025203F" w:rsidRPr="004A5019" w:rsidRDefault="0025203F" w:rsidP="0043285E">
      <w:pPr>
        <w:numPr>
          <w:ilvl w:val="0"/>
          <w:numId w:val="2"/>
        </w:numPr>
        <w:autoSpaceDE w:val="0"/>
        <w:autoSpaceDN w:val="0"/>
        <w:adjustRightInd w:val="0"/>
        <w:spacing w:before="120" w:after="120"/>
        <w:jc w:val="both"/>
        <w:rPr>
          <w:rFonts w:ascii="Trebuchet MS" w:hAnsi="Trebuchet MS" w:cs="Trebuchet MS"/>
          <w:color w:val="1F4E79"/>
          <w:sz w:val="22"/>
          <w:szCs w:val="22"/>
          <w:lang w:val="en-GB"/>
        </w:rPr>
      </w:pPr>
      <w:r w:rsidRPr="004A5019">
        <w:rPr>
          <w:rFonts w:ascii="Trebuchet MS" w:hAnsi="Trebuchet MS" w:cs="Trebuchet MS"/>
          <w:color w:val="1F4E79"/>
          <w:sz w:val="22"/>
          <w:szCs w:val="22"/>
          <w:lang w:val="en-GB"/>
        </w:rPr>
        <w:t xml:space="preserve">It is essential for the achievement of the project objectives/outputs and it would not be incurred if the project was not carried out; </w:t>
      </w:r>
    </w:p>
    <w:p w14:paraId="157008D8" w14:textId="77777777" w:rsidR="0025203F" w:rsidRPr="004A5019" w:rsidRDefault="0025203F" w:rsidP="0043285E">
      <w:pPr>
        <w:numPr>
          <w:ilvl w:val="0"/>
          <w:numId w:val="2"/>
        </w:numPr>
        <w:autoSpaceDE w:val="0"/>
        <w:autoSpaceDN w:val="0"/>
        <w:adjustRightInd w:val="0"/>
        <w:spacing w:before="120" w:after="120"/>
        <w:jc w:val="both"/>
        <w:rPr>
          <w:rFonts w:ascii="Trebuchet MS" w:hAnsi="Trebuchet MS" w:cs="Trebuchet MS"/>
          <w:color w:val="1F4E79"/>
          <w:sz w:val="22"/>
          <w:szCs w:val="22"/>
          <w:lang w:val="en-GB"/>
        </w:rPr>
      </w:pPr>
      <w:r w:rsidRPr="004A5019">
        <w:rPr>
          <w:rFonts w:ascii="Trebuchet MS" w:hAnsi="Trebuchet MS" w:cs="Trebuchet MS"/>
          <w:color w:val="1F4E79"/>
          <w:sz w:val="22"/>
          <w:szCs w:val="22"/>
          <w:lang w:val="en-GB"/>
        </w:rPr>
        <w:t>It is borne directly by the beneficiary and supported by accounting documents justifying incurred expenses/payments (invoices, pay rolls</w:t>
      </w:r>
      <w:r w:rsidR="001D7713" w:rsidRPr="004A5019">
        <w:rPr>
          <w:rFonts w:ascii="Trebuchet MS" w:hAnsi="Trebuchet MS" w:cs="Trebuchet MS"/>
          <w:color w:val="1F4E79"/>
          <w:sz w:val="22"/>
          <w:szCs w:val="22"/>
          <w:lang w:val="en-GB"/>
        </w:rPr>
        <w:t>, etc.</w:t>
      </w:r>
      <w:r w:rsidRPr="004A5019">
        <w:rPr>
          <w:rFonts w:ascii="Trebuchet MS" w:hAnsi="Trebuchet MS" w:cs="Trebuchet MS"/>
          <w:color w:val="1F4E79"/>
          <w:sz w:val="22"/>
          <w:szCs w:val="22"/>
          <w:lang w:val="en-GB"/>
        </w:rPr>
        <w:t>) except for costs calculated as flat rates, unit costs and lump sums;</w:t>
      </w:r>
    </w:p>
    <w:p w14:paraId="060FF2AE" w14:textId="77777777" w:rsidR="0025203F" w:rsidRPr="004A5019" w:rsidRDefault="0025203F" w:rsidP="0043285E">
      <w:pPr>
        <w:numPr>
          <w:ilvl w:val="0"/>
          <w:numId w:val="2"/>
        </w:numPr>
        <w:autoSpaceDE w:val="0"/>
        <w:autoSpaceDN w:val="0"/>
        <w:adjustRightInd w:val="0"/>
        <w:spacing w:before="120" w:after="120"/>
        <w:jc w:val="both"/>
        <w:rPr>
          <w:rFonts w:ascii="Trebuchet MS" w:hAnsi="Trebuchet MS" w:cs="Trebuchet MS"/>
          <w:color w:val="1F4E79"/>
          <w:sz w:val="22"/>
          <w:szCs w:val="22"/>
          <w:lang w:val="en-GB"/>
        </w:rPr>
      </w:pPr>
      <w:r w:rsidRPr="004A5019">
        <w:rPr>
          <w:rFonts w:ascii="Trebuchet MS" w:hAnsi="Trebuchet MS" w:cs="Trebuchet MS"/>
          <w:color w:val="1F4E79"/>
          <w:sz w:val="22"/>
          <w:szCs w:val="22"/>
          <w:lang w:val="en-GB"/>
        </w:rPr>
        <w:lastRenderedPageBreak/>
        <w:t>It is incurred and paid out within the eligibility period</w:t>
      </w:r>
      <w:r w:rsidR="009B49C8" w:rsidRPr="004A5019">
        <w:rPr>
          <w:rFonts w:ascii="Trebuchet MS" w:hAnsi="Trebuchet MS" w:cs="Trebuchet MS"/>
          <w:color w:val="1F4E79"/>
          <w:sz w:val="22"/>
          <w:szCs w:val="22"/>
          <w:lang w:val="en-GB"/>
        </w:rPr>
        <w:t>,</w:t>
      </w:r>
      <w:r w:rsidR="00302C3E">
        <w:rPr>
          <w:rFonts w:ascii="Trebuchet MS" w:hAnsi="Trebuchet MS" w:cs="Trebuchet MS"/>
          <w:color w:val="1F4E79"/>
          <w:sz w:val="22"/>
          <w:szCs w:val="22"/>
          <w:lang w:val="en-GB"/>
        </w:rPr>
        <w:t xml:space="preserve"> starting with </w:t>
      </w:r>
      <w:r w:rsidR="00302C3E" w:rsidRPr="007A35FA">
        <w:rPr>
          <w:rFonts w:ascii="Trebuchet MS" w:hAnsi="Trebuchet MS" w:cs="Trebuchet MS"/>
          <w:color w:val="1F4E79"/>
          <w:sz w:val="22"/>
          <w:szCs w:val="22"/>
        </w:rPr>
        <w:t>1</w:t>
      </w:r>
      <w:r w:rsidR="00302C3E" w:rsidRPr="007A35FA">
        <w:rPr>
          <w:rFonts w:ascii="Trebuchet MS" w:hAnsi="Trebuchet MS" w:cs="Trebuchet MS"/>
          <w:color w:val="1F4E79"/>
          <w:sz w:val="22"/>
          <w:szCs w:val="22"/>
          <w:vertAlign w:val="superscript"/>
        </w:rPr>
        <w:t>st</w:t>
      </w:r>
      <w:r w:rsidR="00302C3E" w:rsidRPr="007A35FA">
        <w:rPr>
          <w:rFonts w:ascii="Trebuchet MS" w:hAnsi="Trebuchet MS" w:cs="Trebuchet MS"/>
          <w:color w:val="1F4E79"/>
          <w:sz w:val="22"/>
          <w:szCs w:val="22"/>
        </w:rPr>
        <w:t xml:space="preserve"> of January 2021</w:t>
      </w:r>
      <w:r w:rsidR="00302C3E">
        <w:rPr>
          <w:rFonts w:ascii="Trebuchet MS" w:hAnsi="Trebuchet MS" w:cs="Trebuchet MS"/>
          <w:color w:val="1F4E79"/>
          <w:sz w:val="22"/>
          <w:szCs w:val="22"/>
        </w:rPr>
        <w:t>,</w:t>
      </w:r>
      <w:r w:rsidR="00302C3E" w:rsidRPr="007A35FA">
        <w:rPr>
          <w:rFonts w:ascii="Trebuchet MS" w:hAnsi="Trebuchet MS" w:cs="Trebuchet MS"/>
          <w:color w:val="1F4E79"/>
          <w:sz w:val="22"/>
          <w:szCs w:val="22"/>
        </w:rPr>
        <w:t xml:space="preserve"> but not later than 31.12.2029</w:t>
      </w:r>
      <w:r w:rsidR="009B49C8" w:rsidRPr="004A5019">
        <w:rPr>
          <w:rFonts w:ascii="Trebuchet MS" w:hAnsi="Trebuchet MS" w:cs="Trebuchet MS"/>
          <w:color w:val="1F4E79"/>
          <w:sz w:val="22"/>
          <w:szCs w:val="22"/>
          <w:lang w:val="en-GB"/>
        </w:rPr>
        <w:t xml:space="preserve">. Preparation costs are eligible if they were incurred between </w:t>
      </w:r>
      <w:r w:rsidR="00F34AE6" w:rsidRPr="004A5019">
        <w:rPr>
          <w:rFonts w:ascii="Trebuchet MS" w:hAnsi="Trebuchet MS" w:cs="Trebuchet MS"/>
          <w:color w:val="1F4E79"/>
          <w:sz w:val="22"/>
          <w:szCs w:val="22"/>
          <w:lang w:val="en-GB"/>
        </w:rPr>
        <w:t>0</w:t>
      </w:r>
      <w:r w:rsidR="009B49C8" w:rsidRPr="004A5019">
        <w:rPr>
          <w:rFonts w:ascii="Trebuchet MS" w:hAnsi="Trebuchet MS" w:cs="Trebuchet MS"/>
          <w:color w:val="1F4E79"/>
          <w:sz w:val="22"/>
          <w:szCs w:val="22"/>
          <w:lang w:val="en-GB"/>
        </w:rPr>
        <w:t>1.01.2021 and the submission of the Application Form</w:t>
      </w:r>
      <w:r w:rsidRPr="004A5019">
        <w:rPr>
          <w:rFonts w:ascii="Trebuchet MS" w:hAnsi="Trebuchet MS" w:cs="Trebuchet MS"/>
          <w:color w:val="1F4E79"/>
          <w:sz w:val="22"/>
          <w:szCs w:val="22"/>
          <w:lang w:val="en-GB"/>
        </w:rPr>
        <w:t>;</w:t>
      </w:r>
    </w:p>
    <w:p w14:paraId="2CDDB722" w14:textId="716A7AC8" w:rsidR="0025203F" w:rsidRPr="004A5019" w:rsidRDefault="0025203F" w:rsidP="0043285E">
      <w:pPr>
        <w:numPr>
          <w:ilvl w:val="0"/>
          <w:numId w:val="2"/>
        </w:numPr>
        <w:autoSpaceDE w:val="0"/>
        <w:autoSpaceDN w:val="0"/>
        <w:adjustRightInd w:val="0"/>
        <w:spacing w:before="120" w:after="120"/>
        <w:jc w:val="both"/>
        <w:rPr>
          <w:rFonts w:ascii="Trebuchet MS" w:hAnsi="Trebuchet MS" w:cs="Trebuchet MS"/>
          <w:color w:val="1F4E79"/>
          <w:sz w:val="22"/>
          <w:szCs w:val="22"/>
          <w:lang w:val="en-GB"/>
        </w:rPr>
      </w:pPr>
      <w:r w:rsidRPr="004A5019">
        <w:rPr>
          <w:rFonts w:ascii="Trebuchet MS" w:hAnsi="Trebuchet MS" w:cs="Trebuchet MS"/>
          <w:color w:val="1F4E79"/>
          <w:sz w:val="22"/>
          <w:szCs w:val="22"/>
          <w:lang w:val="en-GB"/>
        </w:rPr>
        <w:t xml:space="preserve">It is incurred </w:t>
      </w:r>
      <w:r w:rsidR="00E45069">
        <w:rPr>
          <w:rFonts w:ascii="Trebuchet MS" w:hAnsi="Trebuchet MS" w:cs="Trebuchet MS"/>
          <w:color w:val="1F4E79"/>
          <w:sz w:val="22"/>
          <w:szCs w:val="22"/>
          <w:lang w:val="en-GB"/>
        </w:rPr>
        <w:t xml:space="preserve">in the interest of </w:t>
      </w:r>
      <w:r w:rsidRPr="004A5019">
        <w:rPr>
          <w:rFonts w:ascii="Trebuchet MS" w:hAnsi="Trebuchet MS" w:cs="Trebuchet MS"/>
          <w:color w:val="1F4E79"/>
          <w:sz w:val="22"/>
          <w:szCs w:val="22"/>
          <w:lang w:val="en-GB"/>
        </w:rPr>
        <w:t xml:space="preserve">Interreg VI-A Romania-Bulgaria Programme. Any </w:t>
      </w:r>
      <w:r w:rsidR="00637FC2" w:rsidRPr="004A5019">
        <w:rPr>
          <w:rFonts w:ascii="Trebuchet MS" w:hAnsi="Trebuchet MS" w:cs="Trebuchet MS"/>
          <w:color w:val="1F4E79"/>
          <w:sz w:val="22"/>
          <w:szCs w:val="22"/>
          <w:lang w:val="en-GB"/>
        </w:rPr>
        <w:t xml:space="preserve">investment </w:t>
      </w:r>
      <w:r w:rsidRPr="004A5019">
        <w:rPr>
          <w:rFonts w:ascii="Trebuchet MS" w:hAnsi="Trebuchet MS" w:cs="Trebuchet MS"/>
          <w:color w:val="1F4E79"/>
          <w:sz w:val="22"/>
          <w:szCs w:val="22"/>
          <w:lang w:val="en-GB"/>
        </w:rPr>
        <w:t>activity</w:t>
      </w:r>
      <w:r w:rsidR="00C05208">
        <w:rPr>
          <w:rFonts w:ascii="Trebuchet MS" w:hAnsi="Trebuchet MS" w:cs="Trebuchet MS"/>
          <w:color w:val="1F4E79"/>
          <w:sz w:val="22"/>
          <w:szCs w:val="22"/>
          <w:lang w:val="en-GB"/>
        </w:rPr>
        <w:t xml:space="preserve"> </w:t>
      </w:r>
      <w:r w:rsidR="00C05208" w:rsidRPr="00BE5436">
        <w:rPr>
          <w:rFonts w:ascii="Trebuchet MS" w:hAnsi="Trebuchet MS" w:cs="Trebuchet MS"/>
          <w:color w:val="1F4E79"/>
          <w:sz w:val="22"/>
          <w:szCs w:val="22"/>
          <w:lang w:val="en-GB"/>
        </w:rPr>
        <w:t>(such as works, equipment, installation of equipment etc.)</w:t>
      </w:r>
      <w:r w:rsidRPr="004A5019">
        <w:rPr>
          <w:rFonts w:ascii="Trebuchet MS" w:hAnsi="Trebuchet MS" w:cs="Trebuchet MS"/>
          <w:color w:val="1F4E79"/>
          <w:sz w:val="22"/>
          <w:szCs w:val="22"/>
          <w:lang w:val="en-GB"/>
        </w:rPr>
        <w:t xml:space="preserve"> carried out outside the </w:t>
      </w:r>
      <w:r w:rsidR="00520ACE">
        <w:rPr>
          <w:rFonts w:ascii="Trebuchet MS" w:hAnsi="Trebuchet MS" w:cs="Trebuchet MS"/>
          <w:color w:val="1F4E79"/>
          <w:sz w:val="22"/>
          <w:szCs w:val="22"/>
          <w:lang w:val="en-GB"/>
        </w:rPr>
        <w:t xml:space="preserve">ITS </w:t>
      </w:r>
      <w:r w:rsidRPr="004A5019">
        <w:rPr>
          <w:rFonts w:ascii="Trebuchet MS" w:hAnsi="Trebuchet MS" w:cs="Trebuchet MS"/>
          <w:color w:val="1F4E79"/>
          <w:sz w:val="22"/>
          <w:szCs w:val="22"/>
          <w:lang w:val="en-GB"/>
        </w:rPr>
        <w:t>area shall not be eligible from Programme funding</w:t>
      </w:r>
      <w:r w:rsidR="00920551">
        <w:rPr>
          <w:rFonts w:ascii="Trebuchet MS" w:hAnsi="Trebuchet MS" w:cs="Trebuchet MS"/>
          <w:color w:val="1F4E79"/>
          <w:sz w:val="22"/>
          <w:szCs w:val="22"/>
          <w:lang w:val="en-GB"/>
        </w:rPr>
        <w:t xml:space="preserve">, unless it is allowed by the dedicated </w:t>
      </w:r>
      <w:r w:rsidR="005D3694" w:rsidRPr="005D3694">
        <w:rPr>
          <w:rFonts w:ascii="Trebuchet MS" w:hAnsi="Trebuchet MS" w:cs="Trebuchet MS"/>
          <w:color w:val="1F4E79"/>
          <w:sz w:val="22"/>
          <w:szCs w:val="22"/>
          <w:lang w:val="en-GB"/>
        </w:rPr>
        <w:t xml:space="preserve">Invitation for submission of the full application for the project ideas accepted by the Interreg </w:t>
      </w:r>
      <w:r w:rsidR="00EC181C">
        <w:rPr>
          <w:rFonts w:ascii="Trebuchet MS" w:hAnsi="Trebuchet MS" w:cs="Trebuchet MS"/>
          <w:color w:val="1F4E79"/>
          <w:sz w:val="22"/>
          <w:szCs w:val="22"/>
          <w:lang w:val="en-GB"/>
        </w:rPr>
        <w:t>VI-A Romania-Bulgaria Programme</w:t>
      </w:r>
      <w:r w:rsidR="005D3694" w:rsidRPr="005D3694">
        <w:rPr>
          <w:rFonts w:ascii="Trebuchet MS" w:hAnsi="Trebuchet MS" w:cs="Trebuchet MS"/>
          <w:color w:val="1F4E79"/>
          <w:sz w:val="22"/>
          <w:szCs w:val="22"/>
          <w:lang w:val="en-GB"/>
        </w:rPr>
        <w:t xml:space="preserve"> in the context of the Integrated Territorial Strategy</w:t>
      </w:r>
      <w:r w:rsidR="00520ACE">
        <w:rPr>
          <w:rFonts w:ascii="Trebuchet MS" w:hAnsi="Trebuchet MS" w:cs="Trebuchet MS"/>
          <w:color w:val="1F4E79"/>
          <w:sz w:val="22"/>
          <w:szCs w:val="22"/>
          <w:lang w:val="en-GB"/>
        </w:rPr>
        <w:t xml:space="preserve"> or the related </w:t>
      </w:r>
      <w:r w:rsidR="00920551">
        <w:rPr>
          <w:rFonts w:ascii="Trebuchet MS" w:hAnsi="Trebuchet MS" w:cs="Trebuchet MS"/>
          <w:color w:val="1F4E79"/>
          <w:sz w:val="22"/>
          <w:szCs w:val="22"/>
          <w:lang w:val="en-GB"/>
        </w:rPr>
        <w:t>Applicant’s Guide</w:t>
      </w:r>
      <w:r w:rsidR="00520ACE">
        <w:rPr>
          <w:rFonts w:ascii="Trebuchet MS" w:hAnsi="Trebuchet MS" w:cs="Trebuchet MS"/>
          <w:color w:val="1F4E79"/>
          <w:sz w:val="22"/>
          <w:szCs w:val="22"/>
          <w:lang w:val="en-GB"/>
        </w:rPr>
        <w:t>, where applicable</w:t>
      </w:r>
      <w:r w:rsidR="00954F4E">
        <w:rPr>
          <w:rFonts w:ascii="Trebuchet MS" w:hAnsi="Trebuchet MS" w:cs="Trebuchet MS"/>
          <w:color w:val="1F4E79"/>
          <w:sz w:val="22"/>
          <w:szCs w:val="22"/>
          <w:lang w:val="en-GB"/>
        </w:rPr>
        <w:t xml:space="preserve">. </w:t>
      </w:r>
      <w:r w:rsidR="00A975BD">
        <w:rPr>
          <w:rFonts w:ascii="Trebuchet MS" w:hAnsi="Trebuchet MS" w:cs="Trebuchet MS"/>
          <w:color w:val="1F4E79"/>
          <w:sz w:val="22"/>
          <w:szCs w:val="22"/>
          <w:lang w:val="en-GB"/>
        </w:rPr>
        <w:t xml:space="preserve">If specified by the dedicated </w:t>
      </w:r>
      <w:r w:rsidR="005D3694" w:rsidRPr="005D3694">
        <w:rPr>
          <w:rFonts w:ascii="Trebuchet MS" w:hAnsi="Trebuchet MS" w:cs="Trebuchet MS"/>
          <w:color w:val="1F4E79"/>
          <w:sz w:val="22"/>
          <w:szCs w:val="22"/>
          <w:lang w:val="en-GB"/>
        </w:rPr>
        <w:t xml:space="preserve">Invitation for submission of the full </w:t>
      </w:r>
      <w:r w:rsidR="00EC181C" w:rsidRPr="005D3694">
        <w:rPr>
          <w:rFonts w:ascii="Trebuchet MS" w:hAnsi="Trebuchet MS" w:cs="Trebuchet MS"/>
          <w:color w:val="1F4E79"/>
          <w:sz w:val="22"/>
          <w:szCs w:val="22"/>
          <w:lang w:val="en-GB"/>
        </w:rPr>
        <w:t>application</w:t>
      </w:r>
      <w:r w:rsidR="00520ACE">
        <w:rPr>
          <w:rFonts w:ascii="Trebuchet MS" w:hAnsi="Trebuchet MS" w:cs="Trebuchet MS"/>
          <w:color w:val="1F4E79"/>
          <w:sz w:val="22"/>
          <w:szCs w:val="22"/>
          <w:lang w:val="en-GB"/>
        </w:rPr>
        <w:t xml:space="preserve"> or the related </w:t>
      </w:r>
      <w:r w:rsidR="00A975BD">
        <w:rPr>
          <w:rFonts w:ascii="Trebuchet MS" w:hAnsi="Trebuchet MS" w:cs="Trebuchet MS"/>
          <w:color w:val="1F4E79"/>
          <w:sz w:val="22"/>
          <w:szCs w:val="22"/>
          <w:lang w:val="en-GB"/>
        </w:rPr>
        <w:t xml:space="preserve">Applicant’s Guide, the </w:t>
      </w:r>
      <w:r w:rsidR="00954F4E" w:rsidRPr="00BE5436">
        <w:rPr>
          <w:rFonts w:ascii="Trebuchet MS" w:hAnsi="Trebuchet MS" w:cs="Trebuchet MS"/>
          <w:color w:val="1F4E79"/>
          <w:sz w:val="22"/>
          <w:szCs w:val="22"/>
          <w:lang w:val="en-GB"/>
        </w:rPr>
        <w:t xml:space="preserve">purchased equipment must be located, installed and used in the </w:t>
      </w:r>
      <w:r w:rsidR="00520ACE">
        <w:rPr>
          <w:rFonts w:ascii="Trebuchet MS" w:hAnsi="Trebuchet MS" w:cs="Trebuchet MS"/>
          <w:color w:val="1F4E79"/>
          <w:sz w:val="22"/>
          <w:szCs w:val="22"/>
          <w:lang w:val="en-GB"/>
        </w:rPr>
        <w:t>ITS area</w:t>
      </w:r>
      <w:r w:rsidR="0073667C">
        <w:rPr>
          <w:rFonts w:ascii="Trebuchet MS" w:hAnsi="Trebuchet MS" w:cs="Trebuchet MS"/>
          <w:color w:val="1F4E79"/>
          <w:sz w:val="22"/>
          <w:szCs w:val="22"/>
          <w:lang w:val="en-GB"/>
        </w:rPr>
        <w:t>;</w:t>
      </w:r>
      <w:r w:rsidR="00CD08B0">
        <w:rPr>
          <w:rFonts w:ascii="Trebuchet MS" w:hAnsi="Trebuchet MS" w:cs="Trebuchet MS"/>
          <w:color w:val="1F4E79"/>
          <w:sz w:val="22"/>
          <w:szCs w:val="22"/>
          <w:lang w:val="en-GB"/>
        </w:rPr>
        <w:t xml:space="preserve"> </w:t>
      </w:r>
      <w:r w:rsidR="0073667C">
        <w:rPr>
          <w:rFonts w:ascii="Trebuchet MS" w:hAnsi="Trebuchet MS" w:cs="Trebuchet MS"/>
          <w:color w:val="1F4E79"/>
          <w:sz w:val="22"/>
          <w:szCs w:val="22"/>
          <w:lang w:val="en-GB"/>
        </w:rPr>
        <w:t>a</w:t>
      </w:r>
      <w:r w:rsidR="00CD08B0" w:rsidRPr="00CD08B0">
        <w:rPr>
          <w:rFonts w:ascii="Trebuchet MS" w:hAnsi="Trebuchet MS" w:cs="Trebuchet MS"/>
          <w:color w:val="1F4E79"/>
          <w:sz w:val="22"/>
          <w:szCs w:val="22"/>
          <w:lang w:val="en-GB"/>
        </w:rPr>
        <w:t xml:space="preserve">s an exception, in duly justified cases, IT equipment (laptops and/or desktops) can be </w:t>
      </w:r>
      <w:r w:rsidR="00CD08B0" w:rsidRPr="000D3182">
        <w:rPr>
          <w:rFonts w:ascii="Trebuchet MS" w:hAnsi="Trebuchet MS" w:cs="Trebuchet MS"/>
          <w:color w:val="1F4E79"/>
          <w:sz w:val="22"/>
          <w:szCs w:val="22"/>
          <w:lang w:val="en-GB"/>
        </w:rPr>
        <w:t xml:space="preserve">purchased and used outside the </w:t>
      </w:r>
      <w:r w:rsidR="00520ACE">
        <w:rPr>
          <w:rFonts w:ascii="Trebuchet MS" w:hAnsi="Trebuchet MS" w:cs="Trebuchet MS"/>
          <w:color w:val="1F4E79"/>
          <w:sz w:val="22"/>
          <w:szCs w:val="22"/>
          <w:lang w:val="en-GB"/>
        </w:rPr>
        <w:t>ITS</w:t>
      </w:r>
      <w:r w:rsidR="00520ACE" w:rsidRPr="000D3182">
        <w:rPr>
          <w:rFonts w:ascii="Trebuchet MS" w:hAnsi="Trebuchet MS" w:cs="Trebuchet MS"/>
          <w:color w:val="1F4E79"/>
          <w:sz w:val="22"/>
          <w:szCs w:val="22"/>
          <w:lang w:val="en-GB"/>
        </w:rPr>
        <w:t xml:space="preserve"> </w:t>
      </w:r>
      <w:r w:rsidR="00CD08B0" w:rsidRPr="000D3182">
        <w:rPr>
          <w:rFonts w:ascii="Trebuchet MS" w:hAnsi="Trebuchet MS" w:cs="Trebuchet MS"/>
          <w:color w:val="1F4E79"/>
          <w:sz w:val="22"/>
          <w:szCs w:val="22"/>
          <w:lang w:val="en-GB"/>
        </w:rPr>
        <w:t>area, provided they are used in the interest of the programme</w:t>
      </w:r>
      <w:r w:rsidR="00520ACE">
        <w:rPr>
          <w:rFonts w:ascii="Trebuchet MS" w:hAnsi="Trebuchet MS" w:cs="Trebuchet MS"/>
          <w:color w:val="1F4E79"/>
          <w:sz w:val="22"/>
          <w:szCs w:val="22"/>
          <w:lang w:val="en-GB"/>
        </w:rPr>
        <w:t xml:space="preserve"> and ITS</w:t>
      </w:r>
      <w:r w:rsidR="00CD08B0" w:rsidRPr="000D3182">
        <w:rPr>
          <w:rFonts w:ascii="Trebuchet MS" w:hAnsi="Trebuchet MS" w:cs="Trebuchet MS"/>
          <w:color w:val="1F4E79"/>
          <w:sz w:val="22"/>
          <w:szCs w:val="22"/>
          <w:lang w:val="en-GB"/>
        </w:rPr>
        <w:t xml:space="preserve"> and are necessary for implementing the project activities. </w:t>
      </w:r>
      <w:r w:rsidR="000D3182">
        <w:rPr>
          <w:rFonts w:ascii="Trebuchet MS" w:hAnsi="Trebuchet MS" w:cs="Trebuchet MS"/>
          <w:color w:val="1F4E79"/>
          <w:sz w:val="22"/>
          <w:szCs w:val="22"/>
          <w:lang w:val="en-GB"/>
        </w:rPr>
        <w:t xml:space="preserve">If specified by the dedicated </w:t>
      </w:r>
      <w:r w:rsidR="005D3694" w:rsidRPr="005D3694">
        <w:rPr>
          <w:rFonts w:ascii="Trebuchet MS" w:hAnsi="Trebuchet MS" w:cs="Trebuchet MS"/>
          <w:color w:val="1F4E79"/>
          <w:sz w:val="22"/>
          <w:szCs w:val="22"/>
          <w:lang w:val="en-GB"/>
        </w:rPr>
        <w:t>Invitation for submission of the full application</w:t>
      </w:r>
      <w:r w:rsidR="00520ACE">
        <w:rPr>
          <w:rFonts w:ascii="Trebuchet MS" w:hAnsi="Trebuchet MS" w:cs="Trebuchet MS"/>
          <w:color w:val="1F4E79"/>
          <w:sz w:val="22"/>
          <w:szCs w:val="22"/>
          <w:lang w:val="en-GB"/>
        </w:rPr>
        <w:t xml:space="preserve"> of the related</w:t>
      </w:r>
      <w:r w:rsidR="005D3694" w:rsidRPr="005D3694">
        <w:rPr>
          <w:rFonts w:ascii="Trebuchet MS" w:hAnsi="Trebuchet MS" w:cs="Trebuchet MS"/>
          <w:color w:val="1F4E79"/>
          <w:sz w:val="22"/>
          <w:szCs w:val="22"/>
          <w:lang w:val="en-GB"/>
        </w:rPr>
        <w:t xml:space="preserve"> </w:t>
      </w:r>
      <w:r w:rsidR="000D3182">
        <w:rPr>
          <w:rFonts w:ascii="Trebuchet MS" w:hAnsi="Trebuchet MS" w:cs="Trebuchet MS"/>
          <w:color w:val="1F4E79"/>
          <w:sz w:val="22"/>
          <w:szCs w:val="22"/>
          <w:lang w:val="en-GB"/>
        </w:rPr>
        <w:t xml:space="preserve">Applicant’s Guide, the </w:t>
      </w:r>
      <w:r w:rsidR="00CD08B0" w:rsidRPr="000D3182">
        <w:rPr>
          <w:rFonts w:ascii="Trebuchet MS" w:hAnsi="Trebuchet MS" w:cs="Trebuchet MS"/>
          <w:color w:val="1F4E79"/>
          <w:sz w:val="22"/>
          <w:szCs w:val="22"/>
          <w:lang w:val="en-GB"/>
        </w:rPr>
        <w:t>IT equipment (laptop and/or desktops</w:t>
      </w:r>
      <w:r w:rsidR="002B58D6">
        <w:rPr>
          <w:rFonts w:ascii="Trebuchet MS" w:hAnsi="Trebuchet MS" w:cs="Trebuchet MS"/>
          <w:color w:val="1F4E79"/>
          <w:sz w:val="22"/>
          <w:szCs w:val="22"/>
          <w:lang w:val="en-GB"/>
        </w:rPr>
        <w:t>, printers, scanners etc.</w:t>
      </w:r>
      <w:r w:rsidR="00CD08B0" w:rsidRPr="000D3182">
        <w:rPr>
          <w:rFonts w:ascii="Trebuchet MS" w:hAnsi="Trebuchet MS" w:cs="Trebuchet MS"/>
          <w:color w:val="1F4E79"/>
          <w:sz w:val="22"/>
          <w:szCs w:val="22"/>
          <w:lang w:val="en-GB"/>
        </w:rPr>
        <w:t xml:space="preserve">) for equipping the project implementation team for carrying out the project management tasks are </w:t>
      </w:r>
      <w:r w:rsidR="00FD3DF6" w:rsidRPr="00FD3DF6">
        <w:rPr>
          <w:rFonts w:ascii="Trebuchet MS" w:hAnsi="Trebuchet MS"/>
          <w:color w:val="1F4E79"/>
          <w:sz w:val="22"/>
          <w:szCs w:val="22"/>
          <w:lang w:val="en-GB"/>
        </w:rPr>
        <w:t>included under the Office and administration costs, covered by the flat rate</w:t>
      </w:r>
      <w:r w:rsidR="00520ACE">
        <w:rPr>
          <w:rFonts w:ascii="Trebuchet MS" w:hAnsi="Trebuchet MS"/>
          <w:color w:val="1F4E79"/>
          <w:sz w:val="22"/>
          <w:szCs w:val="22"/>
          <w:lang w:val="en-GB"/>
        </w:rPr>
        <w:t xml:space="preserve"> and can be used outside the ITS area</w:t>
      </w:r>
      <w:r w:rsidRPr="004A5019">
        <w:rPr>
          <w:rFonts w:ascii="Trebuchet MS" w:hAnsi="Trebuchet MS" w:cs="Trebuchet MS"/>
          <w:color w:val="1F4E79"/>
          <w:sz w:val="22"/>
          <w:szCs w:val="22"/>
          <w:lang w:val="en-GB"/>
        </w:rPr>
        <w:t>;</w:t>
      </w:r>
    </w:p>
    <w:p w14:paraId="50C7567D" w14:textId="77777777" w:rsidR="0025203F" w:rsidRPr="004A5019" w:rsidRDefault="0025203F" w:rsidP="0043285E">
      <w:pPr>
        <w:numPr>
          <w:ilvl w:val="0"/>
          <w:numId w:val="2"/>
        </w:numPr>
        <w:autoSpaceDE w:val="0"/>
        <w:autoSpaceDN w:val="0"/>
        <w:adjustRightInd w:val="0"/>
        <w:spacing w:before="120" w:after="120"/>
        <w:jc w:val="both"/>
        <w:rPr>
          <w:rFonts w:ascii="Trebuchet MS" w:hAnsi="Trebuchet MS" w:cs="Trebuchet MS"/>
          <w:color w:val="1F4E79"/>
          <w:sz w:val="22"/>
          <w:szCs w:val="22"/>
          <w:lang w:val="en-GB"/>
        </w:rPr>
      </w:pPr>
      <w:r w:rsidRPr="004A5019">
        <w:rPr>
          <w:rFonts w:ascii="Trebuchet MS" w:hAnsi="Trebuchet MS" w:cs="Trebuchet MS"/>
          <w:color w:val="1F4E79"/>
          <w:sz w:val="22"/>
          <w:szCs w:val="22"/>
          <w:lang w:val="en-GB"/>
        </w:rPr>
        <w:t xml:space="preserve">Comply with the principle of real costs except for costs calculated on basis of simplified cost options (flat rates, unit costs, lump sums); </w:t>
      </w:r>
    </w:p>
    <w:p w14:paraId="0A4DC9A9" w14:textId="77777777" w:rsidR="0025203F" w:rsidRPr="004A5019" w:rsidRDefault="0025203F" w:rsidP="0043285E">
      <w:pPr>
        <w:numPr>
          <w:ilvl w:val="0"/>
          <w:numId w:val="2"/>
        </w:numPr>
        <w:autoSpaceDE w:val="0"/>
        <w:autoSpaceDN w:val="0"/>
        <w:adjustRightInd w:val="0"/>
        <w:spacing w:before="120" w:after="120"/>
        <w:jc w:val="both"/>
        <w:rPr>
          <w:rFonts w:ascii="Trebuchet MS" w:hAnsi="Trebuchet MS" w:cs="Trebuchet MS"/>
          <w:color w:val="1F4E79"/>
          <w:sz w:val="22"/>
          <w:szCs w:val="22"/>
          <w:lang w:val="en-GB"/>
        </w:rPr>
      </w:pPr>
      <w:r w:rsidRPr="004A5019">
        <w:rPr>
          <w:rFonts w:ascii="Trebuchet MS" w:hAnsi="Trebuchet MS" w:cs="Trebuchet MS"/>
          <w:color w:val="1F4E79"/>
          <w:sz w:val="22"/>
          <w:szCs w:val="22"/>
          <w:lang w:val="en-GB"/>
        </w:rPr>
        <w:t>It complies with the principle of sound financial management</w:t>
      </w:r>
      <w:r w:rsidR="009B49C8" w:rsidRPr="004A5019">
        <w:rPr>
          <w:rFonts w:ascii="Trebuchet MS" w:hAnsi="Trebuchet MS" w:cs="Trebuchet MS"/>
          <w:color w:val="1F4E79"/>
          <w:sz w:val="22"/>
          <w:szCs w:val="22"/>
          <w:lang w:val="en-GB"/>
        </w:rPr>
        <w:t xml:space="preserve">, </w:t>
      </w:r>
      <w:r w:rsidR="009B49C8" w:rsidRPr="004A5019">
        <w:rPr>
          <w:rFonts w:ascii="Trebuchet MS" w:hAnsi="Trebuchet MS"/>
          <w:color w:val="1F4E79"/>
          <w:sz w:val="22"/>
          <w:szCs w:val="22"/>
          <w:lang w:val="en-GB"/>
        </w:rPr>
        <w:t>in particular value for money and cost-effectiveness</w:t>
      </w:r>
      <w:r w:rsidRPr="004A5019">
        <w:rPr>
          <w:rFonts w:ascii="Trebuchet MS" w:hAnsi="Trebuchet MS" w:cs="Trebuchet MS"/>
          <w:color w:val="1F4E79"/>
          <w:sz w:val="22"/>
          <w:szCs w:val="22"/>
          <w:lang w:val="en-GB"/>
        </w:rPr>
        <w:t xml:space="preserve">; </w:t>
      </w:r>
    </w:p>
    <w:p w14:paraId="653E2079" w14:textId="77777777" w:rsidR="0025203F" w:rsidRPr="004A5019" w:rsidRDefault="0025203F" w:rsidP="0043285E">
      <w:pPr>
        <w:numPr>
          <w:ilvl w:val="0"/>
          <w:numId w:val="2"/>
        </w:numPr>
        <w:autoSpaceDE w:val="0"/>
        <w:autoSpaceDN w:val="0"/>
        <w:adjustRightInd w:val="0"/>
        <w:spacing w:before="120" w:after="120"/>
        <w:jc w:val="both"/>
        <w:rPr>
          <w:rFonts w:ascii="Trebuchet MS" w:hAnsi="Trebuchet MS" w:cs="Trebuchet MS"/>
          <w:color w:val="1F4E79"/>
          <w:sz w:val="22"/>
          <w:szCs w:val="22"/>
          <w:lang w:val="en-GB"/>
        </w:rPr>
      </w:pPr>
      <w:r w:rsidRPr="004A5019">
        <w:rPr>
          <w:rFonts w:ascii="Trebuchet MS" w:hAnsi="Trebuchet MS" w:cs="Trebuchet MS"/>
          <w:color w:val="1F4E79"/>
          <w:sz w:val="22"/>
          <w:szCs w:val="22"/>
          <w:lang w:val="en-GB"/>
        </w:rPr>
        <w:t xml:space="preserve">It is registered in the beneficiary’s accounts through a separate accounting system or an adequate accounting code set in place specifically for the project (with the exception of costs calculated on basis of simplified cost options); </w:t>
      </w:r>
    </w:p>
    <w:p w14:paraId="1B70B81F" w14:textId="77777777" w:rsidR="0025203F" w:rsidRPr="004A5019" w:rsidRDefault="0025203F" w:rsidP="0043285E">
      <w:pPr>
        <w:numPr>
          <w:ilvl w:val="0"/>
          <w:numId w:val="2"/>
        </w:numPr>
        <w:autoSpaceDE w:val="0"/>
        <w:autoSpaceDN w:val="0"/>
        <w:adjustRightInd w:val="0"/>
        <w:spacing w:before="120" w:after="120"/>
        <w:jc w:val="both"/>
        <w:rPr>
          <w:rFonts w:ascii="Trebuchet MS" w:hAnsi="Trebuchet MS" w:cs="Trebuchet MS"/>
          <w:color w:val="1F4E79"/>
          <w:sz w:val="22"/>
          <w:szCs w:val="22"/>
          <w:lang w:val="en-GB"/>
        </w:rPr>
      </w:pPr>
      <w:r w:rsidRPr="004A5019">
        <w:rPr>
          <w:rFonts w:ascii="Trebuchet MS" w:hAnsi="Trebuchet MS" w:cs="Trebuchet MS"/>
          <w:color w:val="1F4E79"/>
          <w:sz w:val="22"/>
          <w:szCs w:val="22"/>
          <w:lang w:val="en-GB"/>
        </w:rPr>
        <w:t xml:space="preserve">Is not in contradiction with any specific eligibility criterion applicable to the respective cost category (see </w:t>
      </w:r>
      <w:r w:rsidR="006C604D" w:rsidRPr="004A5019">
        <w:rPr>
          <w:rFonts w:ascii="Trebuchet MS" w:hAnsi="Trebuchet MS" w:cs="Trebuchet MS"/>
          <w:color w:val="1F4E79"/>
          <w:sz w:val="22"/>
          <w:szCs w:val="22"/>
          <w:lang w:val="en-GB"/>
        </w:rPr>
        <w:t>below);</w:t>
      </w:r>
    </w:p>
    <w:p w14:paraId="4E5441E5" w14:textId="77777777" w:rsidR="0025203F" w:rsidRPr="004A5019" w:rsidRDefault="0025203F" w:rsidP="0043285E">
      <w:pPr>
        <w:numPr>
          <w:ilvl w:val="0"/>
          <w:numId w:val="2"/>
        </w:numPr>
        <w:autoSpaceDE w:val="0"/>
        <w:autoSpaceDN w:val="0"/>
        <w:adjustRightInd w:val="0"/>
        <w:spacing w:before="120" w:after="120"/>
        <w:jc w:val="both"/>
        <w:rPr>
          <w:rFonts w:ascii="Trebuchet MS" w:hAnsi="Trebuchet MS" w:cs="Trebuchet MS"/>
          <w:color w:val="1F4E79"/>
          <w:sz w:val="22"/>
          <w:szCs w:val="22"/>
          <w:lang w:val="en-GB"/>
        </w:rPr>
      </w:pPr>
      <w:r w:rsidRPr="004A5019">
        <w:rPr>
          <w:rFonts w:ascii="Trebuchet MS" w:hAnsi="Trebuchet MS" w:cs="Trebuchet MS"/>
          <w:color w:val="1F4E79"/>
          <w:sz w:val="22"/>
          <w:szCs w:val="22"/>
          <w:lang w:val="en-GB"/>
        </w:rPr>
        <w:t xml:space="preserve">It complies with eligibility rules at European, Programme and national level; it observes the relevant procurement rules, if applicable. </w:t>
      </w:r>
    </w:p>
    <w:p w14:paraId="1170D6B8" w14:textId="77777777" w:rsidR="002002FF" w:rsidRPr="004A5019" w:rsidRDefault="0025203F" w:rsidP="0043285E">
      <w:pPr>
        <w:numPr>
          <w:ilvl w:val="0"/>
          <w:numId w:val="2"/>
        </w:numPr>
        <w:autoSpaceDE w:val="0"/>
        <w:autoSpaceDN w:val="0"/>
        <w:adjustRightInd w:val="0"/>
        <w:spacing w:before="120" w:after="120"/>
        <w:jc w:val="both"/>
        <w:rPr>
          <w:rFonts w:ascii="Trebuchet MS" w:hAnsi="Trebuchet MS" w:cs="Trebuchet MS"/>
          <w:color w:val="1F4E79"/>
          <w:sz w:val="22"/>
          <w:szCs w:val="22"/>
          <w:lang w:val="en-GB"/>
        </w:rPr>
      </w:pPr>
      <w:r w:rsidRPr="004A5019">
        <w:rPr>
          <w:rFonts w:ascii="Trebuchet MS" w:hAnsi="Trebuchet MS"/>
          <w:b/>
          <w:snapToGrid w:val="0"/>
          <w:color w:val="1F4E79"/>
          <w:sz w:val="22"/>
          <w:szCs w:val="22"/>
          <w:lang w:val="en-GB"/>
        </w:rPr>
        <w:t>No sub-contracting between project partners or associated partners is allowed.</w:t>
      </w:r>
    </w:p>
    <w:p w14:paraId="30EA133B" w14:textId="77777777" w:rsidR="002002FF" w:rsidRPr="004A5019" w:rsidRDefault="002002FF" w:rsidP="0043285E">
      <w:pPr>
        <w:numPr>
          <w:ilvl w:val="0"/>
          <w:numId w:val="2"/>
        </w:numPr>
        <w:autoSpaceDE w:val="0"/>
        <w:autoSpaceDN w:val="0"/>
        <w:adjustRightInd w:val="0"/>
        <w:spacing w:before="120" w:after="120"/>
        <w:jc w:val="both"/>
        <w:rPr>
          <w:rFonts w:ascii="Trebuchet MS" w:hAnsi="Trebuchet MS" w:cs="Trebuchet MS"/>
          <w:color w:val="1F4E79"/>
          <w:sz w:val="22"/>
          <w:szCs w:val="22"/>
          <w:lang w:val="en-GB"/>
        </w:rPr>
      </w:pPr>
      <w:r w:rsidRPr="004A5019">
        <w:rPr>
          <w:rFonts w:ascii="Trebuchet MS" w:hAnsi="Trebuchet MS" w:cs="Trebuchet MS"/>
          <w:color w:val="1F4E79"/>
          <w:sz w:val="22"/>
          <w:szCs w:val="22"/>
          <w:lang w:val="en-GB"/>
        </w:rPr>
        <w:t>It i</w:t>
      </w:r>
      <w:r w:rsidRPr="00154B5B">
        <w:rPr>
          <w:rFonts w:ascii="Trebuchet MS" w:hAnsi="Trebuchet MS" w:cs="Trebuchet MS"/>
          <w:color w:val="1F4E79"/>
          <w:sz w:val="22"/>
          <w:szCs w:val="22"/>
          <w:lang w:val="en-GB"/>
        </w:rPr>
        <w:t>s included in the present list of eligible expenditure.</w:t>
      </w:r>
    </w:p>
    <w:p w14:paraId="1EF095BA" w14:textId="77777777" w:rsidR="001D5759" w:rsidRPr="003771D7" w:rsidRDefault="00212AB7" w:rsidP="0043285E">
      <w:pPr>
        <w:keepNext/>
        <w:numPr>
          <w:ilvl w:val="0"/>
          <w:numId w:val="1"/>
        </w:numPr>
        <w:autoSpaceDE w:val="0"/>
        <w:autoSpaceDN w:val="0"/>
        <w:adjustRightInd w:val="0"/>
        <w:spacing w:before="120"/>
        <w:jc w:val="both"/>
        <w:rPr>
          <w:rFonts w:ascii="Trebuchet MS" w:hAnsi="Trebuchet MS" w:cs="Trebuchet MS"/>
          <w:color w:val="1F4E79"/>
          <w:sz w:val="22"/>
          <w:szCs w:val="22"/>
          <w:lang w:val="en-GB"/>
        </w:rPr>
      </w:pPr>
      <w:r w:rsidRPr="00154B5B">
        <w:rPr>
          <w:rFonts w:ascii="Trebuchet MS" w:hAnsi="Trebuchet MS" w:cs="Trebuchet MS"/>
          <w:color w:val="1F4E79"/>
          <w:sz w:val="22"/>
          <w:szCs w:val="22"/>
          <w:lang w:val="en-GB"/>
        </w:rPr>
        <w:t>In case expenditures are reimbursed on flat rate, beneficiaries do not need to present for further controls supporting documents proving that the expenditure has been incurred and paid or that the flat</w:t>
      </w:r>
      <w:r w:rsidRPr="004A5019">
        <w:rPr>
          <w:rFonts w:ascii="Trebuchet MS" w:hAnsi="Trebuchet MS"/>
          <w:color w:val="1F4E79"/>
          <w:sz w:val="22"/>
          <w:szCs w:val="22"/>
          <w:lang w:val="en-GB"/>
        </w:rPr>
        <w:t xml:space="preserve"> rate corresponds to the reality.</w:t>
      </w:r>
      <w:r w:rsidR="003771D7">
        <w:rPr>
          <w:rFonts w:ascii="Trebuchet MS" w:hAnsi="Trebuchet MS"/>
          <w:color w:val="1F4E79"/>
          <w:sz w:val="22"/>
          <w:szCs w:val="22"/>
          <w:lang w:val="en-GB"/>
        </w:rPr>
        <w:t xml:space="preserve"> </w:t>
      </w:r>
      <w:r w:rsidR="003771D7" w:rsidRPr="003771D7">
        <w:rPr>
          <w:rFonts w:ascii="Trebuchet MS" w:hAnsi="Trebuchet MS" w:cs="Trebuchet MS"/>
          <w:color w:val="1F4E79"/>
          <w:sz w:val="22"/>
          <w:szCs w:val="22"/>
          <w:lang w:val="en-GB"/>
        </w:rPr>
        <w:t xml:space="preserve">However, documents proving the </w:t>
      </w:r>
      <w:r w:rsidR="003771D7">
        <w:rPr>
          <w:rFonts w:ascii="Trebuchet MS" w:hAnsi="Trebuchet MS" w:cs="Trebuchet MS"/>
          <w:color w:val="1F4E79"/>
          <w:sz w:val="22"/>
          <w:szCs w:val="22"/>
          <w:lang w:val="en-GB"/>
        </w:rPr>
        <w:t>actions related to the cost reimbursed on flat rate</w:t>
      </w:r>
      <w:r w:rsidR="003771D7" w:rsidRPr="003771D7">
        <w:rPr>
          <w:rFonts w:ascii="Trebuchet MS" w:hAnsi="Trebuchet MS" w:cs="Trebuchet MS"/>
          <w:color w:val="1F4E79"/>
          <w:sz w:val="22"/>
          <w:szCs w:val="22"/>
          <w:lang w:val="en-GB"/>
        </w:rPr>
        <w:t xml:space="preserve"> could be requested during the project implementation.</w:t>
      </w:r>
    </w:p>
    <w:p w14:paraId="0EACCB80" w14:textId="1CF53582" w:rsidR="00C176EA" w:rsidRPr="004A5019" w:rsidRDefault="00C176EA" w:rsidP="00A74BC1">
      <w:pPr>
        <w:spacing w:before="240" w:after="120"/>
        <w:jc w:val="both"/>
        <w:rPr>
          <w:rFonts w:ascii="Trebuchet MS" w:hAnsi="Trebuchet MS"/>
          <w:color w:val="1F4E79"/>
          <w:sz w:val="22"/>
          <w:szCs w:val="22"/>
          <w:lang w:val="en-GB"/>
        </w:rPr>
      </w:pPr>
      <w:r w:rsidRPr="004A5019">
        <w:rPr>
          <w:rFonts w:ascii="Trebuchet MS" w:hAnsi="Trebuchet MS"/>
          <w:b/>
          <w:color w:val="1F4E79"/>
          <w:sz w:val="22"/>
          <w:szCs w:val="22"/>
          <w:lang w:val="en-GB"/>
        </w:rPr>
        <w:t>Article 2</w:t>
      </w:r>
      <w:r w:rsidRPr="004A5019">
        <w:rPr>
          <w:rFonts w:ascii="Trebuchet MS" w:hAnsi="Trebuchet MS"/>
          <w:color w:val="1F4E79"/>
          <w:sz w:val="22"/>
          <w:szCs w:val="22"/>
          <w:lang w:val="en-GB"/>
        </w:rPr>
        <w:t xml:space="preserve">. </w:t>
      </w:r>
      <w:r w:rsidR="00C7489F" w:rsidRPr="004A5019">
        <w:rPr>
          <w:rFonts w:ascii="Trebuchet MS" w:hAnsi="Trebuchet MS"/>
          <w:color w:val="1F4E79"/>
          <w:sz w:val="22"/>
          <w:szCs w:val="22"/>
          <w:lang w:val="en-GB"/>
        </w:rPr>
        <w:t xml:space="preserve">The provisions of the present document shall be supplemented by the provisions of the </w:t>
      </w:r>
      <w:r w:rsidR="005D3694" w:rsidRPr="005D3694">
        <w:rPr>
          <w:rFonts w:ascii="Trebuchet MS" w:hAnsi="Trebuchet MS" w:cs="Trebuchet MS"/>
          <w:color w:val="1F4E79"/>
          <w:sz w:val="22"/>
          <w:szCs w:val="22"/>
          <w:lang w:val="en-GB"/>
        </w:rPr>
        <w:t xml:space="preserve">Invitation for submission of the full </w:t>
      </w:r>
      <w:r w:rsidR="003967C6" w:rsidRPr="005D3694">
        <w:rPr>
          <w:rFonts w:ascii="Trebuchet MS" w:hAnsi="Trebuchet MS" w:cs="Trebuchet MS"/>
          <w:color w:val="1F4E79"/>
          <w:sz w:val="22"/>
          <w:szCs w:val="22"/>
          <w:lang w:val="en-GB"/>
        </w:rPr>
        <w:t>application</w:t>
      </w:r>
      <w:r w:rsidR="001C7EC9">
        <w:rPr>
          <w:rFonts w:ascii="Trebuchet MS" w:hAnsi="Trebuchet MS" w:cs="Trebuchet MS"/>
          <w:color w:val="1F4E79"/>
          <w:sz w:val="22"/>
          <w:szCs w:val="22"/>
          <w:lang w:val="en-GB"/>
        </w:rPr>
        <w:t xml:space="preserve"> or the relevant </w:t>
      </w:r>
      <w:r w:rsidR="00C7489F" w:rsidRPr="004A5019">
        <w:rPr>
          <w:rFonts w:ascii="Trebuchet MS" w:hAnsi="Trebuchet MS"/>
          <w:color w:val="1F4E79"/>
          <w:sz w:val="22"/>
          <w:szCs w:val="22"/>
          <w:lang w:val="en-GB"/>
        </w:rPr>
        <w:t>Applicant’s Guide, valid for the respective call.</w:t>
      </w:r>
    </w:p>
    <w:p w14:paraId="1607B98E" w14:textId="77777777" w:rsidR="00E001B9" w:rsidRPr="004A5019" w:rsidRDefault="00D81523" w:rsidP="00A74BC1">
      <w:pPr>
        <w:spacing w:before="240" w:after="120"/>
        <w:jc w:val="both"/>
        <w:rPr>
          <w:rFonts w:ascii="Trebuchet MS" w:hAnsi="Trebuchet MS"/>
          <w:color w:val="1F4E79"/>
          <w:sz w:val="22"/>
          <w:szCs w:val="22"/>
          <w:lang w:val="en-GB"/>
        </w:rPr>
      </w:pPr>
      <w:r w:rsidRPr="004A5019">
        <w:rPr>
          <w:rFonts w:ascii="Trebuchet MS" w:hAnsi="Trebuchet MS"/>
          <w:b/>
          <w:color w:val="1F4E79"/>
          <w:sz w:val="22"/>
          <w:szCs w:val="22"/>
          <w:lang w:val="en-GB"/>
        </w:rPr>
        <w:t>Article 3.</w:t>
      </w:r>
      <w:r w:rsidRPr="004A5019">
        <w:rPr>
          <w:rFonts w:ascii="Trebuchet MS" w:hAnsi="Trebuchet MS"/>
          <w:color w:val="1F4E79"/>
          <w:sz w:val="22"/>
          <w:szCs w:val="22"/>
          <w:lang w:val="en-GB"/>
        </w:rPr>
        <w:t xml:space="preserve"> </w:t>
      </w:r>
      <w:r w:rsidR="00E001B9" w:rsidRPr="004A5019">
        <w:rPr>
          <w:rFonts w:ascii="Trebuchet MS" w:hAnsi="Trebuchet MS"/>
          <w:color w:val="1F4E79"/>
          <w:sz w:val="22"/>
          <w:szCs w:val="22"/>
          <w:lang w:val="en-GB"/>
        </w:rPr>
        <w:t xml:space="preserve">According to article 37, paragraph 3 of Regulation (EU) No 2021/1059, for matters not covered by the eligibility rules laid down in Articles 63 to 68 of Regulation (EU) 2021/1060, Regulation (EU) 2021/1058 and Regulation (EU) No 2021/1059, </w:t>
      </w:r>
      <w:r w:rsidR="00453FA5" w:rsidRPr="004A5019">
        <w:rPr>
          <w:rFonts w:ascii="Trebuchet MS" w:hAnsi="Trebuchet MS"/>
          <w:color w:val="1F4E79"/>
          <w:sz w:val="22"/>
          <w:szCs w:val="22"/>
          <w:lang w:val="en-GB"/>
        </w:rPr>
        <w:t>or in the present rules established jointly by the participating Member States</w:t>
      </w:r>
      <w:r w:rsidR="00E001B9" w:rsidRPr="004A5019">
        <w:rPr>
          <w:rFonts w:ascii="Trebuchet MS" w:hAnsi="Trebuchet MS"/>
          <w:color w:val="1F4E79"/>
          <w:sz w:val="22"/>
          <w:szCs w:val="22"/>
          <w:lang w:val="en-GB"/>
        </w:rPr>
        <w:t>, the national rules of the Member State in which the expenditure is incurred shall apply.</w:t>
      </w:r>
    </w:p>
    <w:p w14:paraId="41663E13" w14:textId="77777777" w:rsidR="00173715" w:rsidRPr="004A5019" w:rsidRDefault="00DA5EF8" w:rsidP="00A74BC1">
      <w:pPr>
        <w:pStyle w:val="Default"/>
        <w:spacing w:before="240" w:after="120"/>
        <w:jc w:val="both"/>
        <w:rPr>
          <w:rFonts w:ascii="Trebuchet MS" w:hAnsi="Trebuchet MS"/>
          <w:color w:val="1F4E79"/>
          <w:sz w:val="22"/>
          <w:szCs w:val="22"/>
          <w:lang w:val="en-GB"/>
        </w:rPr>
      </w:pPr>
      <w:r w:rsidRPr="004A5019">
        <w:rPr>
          <w:rFonts w:ascii="Trebuchet MS" w:hAnsi="Trebuchet MS"/>
          <w:b/>
          <w:color w:val="1F4E79"/>
          <w:sz w:val="22"/>
          <w:szCs w:val="22"/>
          <w:lang w:val="en-GB"/>
        </w:rPr>
        <w:lastRenderedPageBreak/>
        <w:t>Article 4.</w:t>
      </w:r>
    </w:p>
    <w:p w14:paraId="0A682F4E" w14:textId="77777777" w:rsidR="00DA5EF8" w:rsidRPr="004A5019" w:rsidRDefault="00DA5EF8" w:rsidP="0043285E">
      <w:pPr>
        <w:pStyle w:val="Default"/>
        <w:numPr>
          <w:ilvl w:val="0"/>
          <w:numId w:val="3"/>
        </w:numPr>
        <w:spacing w:before="120" w:after="120"/>
        <w:jc w:val="both"/>
        <w:rPr>
          <w:rFonts w:ascii="Trebuchet MS" w:hAnsi="Trebuchet MS"/>
          <w:color w:val="1F4E79"/>
          <w:sz w:val="22"/>
          <w:szCs w:val="22"/>
          <w:lang w:val="en-GB"/>
        </w:rPr>
      </w:pPr>
      <w:r w:rsidRPr="004A5019">
        <w:rPr>
          <w:rFonts w:ascii="Trebuchet MS" w:hAnsi="Trebuchet MS"/>
          <w:color w:val="1F4E79"/>
          <w:sz w:val="22"/>
          <w:szCs w:val="22"/>
          <w:lang w:val="en-GB"/>
        </w:rPr>
        <w:t xml:space="preserve">The hierarchy of rules on eligibility of expenditure applicable to Interreg projects is as follows: </w:t>
      </w:r>
    </w:p>
    <w:p w14:paraId="59EB72FD" w14:textId="77777777" w:rsidR="00173715" w:rsidRPr="004A5019" w:rsidRDefault="00DA5EF8" w:rsidP="0043285E">
      <w:pPr>
        <w:pStyle w:val="Default"/>
        <w:numPr>
          <w:ilvl w:val="0"/>
          <w:numId w:val="4"/>
        </w:numPr>
        <w:spacing w:before="120" w:after="120"/>
        <w:jc w:val="both"/>
        <w:rPr>
          <w:rFonts w:ascii="Trebuchet MS" w:hAnsi="Trebuchet MS"/>
          <w:color w:val="1F4E79"/>
          <w:sz w:val="22"/>
          <w:szCs w:val="22"/>
          <w:lang w:val="en-GB"/>
        </w:rPr>
      </w:pPr>
      <w:r w:rsidRPr="004A5019">
        <w:rPr>
          <w:rFonts w:ascii="Trebuchet MS" w:hAnsi="Trebuchet MS"/>
          <w:color w:val="1F4E79"/>
          <w:sz w:val="22"/>
          <w:szCs w:val="22"/>
          <w:lang w:val="en-GB"/>
        </w:rPr>
        <w:t>EU rules on eligibility as set out in:</w:t>
      </w:r>
    </w:p>
    <w:p w14:paraId="38A741D5" w14:textId="0612709B" w:rsidR="00D80FA3" w:rsidRPr="00D80FA3" w:rsidRDefault="00DA5EF8" w:rsidP="00D80FA3">
      <w:pPr>
        <w:pStyle w:val="Default"/>
        <w:numPr>
          <w:ilvl w:val="0"/>
          <w:numId w:val="5"/>
        </w:numPr>
        <w:spacing w:before="120" w:after="120"/>
        <w:jc w:val="both"/>
        <w:rPr>
          <w:rFonts w:ascii="Trebuchet MS" w:hAnsi="Trebuchet MS"/>
          <w:color w:val="1F4E79"/>
          <w:sz w:val="22"/>
          <w:szCs w:val="22"/>
          <w:lang w:val="en-GB"/>
        </w:rPr>
      </w:pPr>
      <w:r w:rsidRPr="004A5019">
        <w:rPr>
          <w:rFonts w:ascii="Trebuchet MS" w:hAnsi="Trebuchet MS"/>
          <w:color w:val="1F4E79"/>
          <w:sz w:val="22"/>
          <w:szCs w:val="22"/>
          <w:lang w:val="en-GB"/>
        </w:rPr>
        <w:t>Regulation (EU, Euratom)</w:t>
      </w:r>
      <w:r w:rsidRPr="004A5019">
        <w:rPr>
          <w:rFonts w:ascii="Trebuchet MS" w:hAnsi="Trebuchet MS" w:cs="Segoe UI"/>
          <w:color w:val="1F4E79"/>
          <w:sz w:val="22"/>
          <w:szCs w:val="22"/>
          <w:shd w:val="clear" w:color="auto" w:fill="FFFFFF"/>
          <w:lang w:val="en-GB"/>
        </w:rPr>
        <w:t xml:space="preserve"> </w:t>
      </w:r>
      <w:r w:rsidRPr="004A5019">
        <w:rPr>
          <w:rFonts w:ascii="Trebuchet MS" w:hAnsi="Trebuchet MS"/>
          <w:color w:val="1F4E79"/>
          <w:sz w:val="22"/>
          <w:szCs w:val="22"/>
          <w:lang w:val="en-GB"/>
        </w:rPr>
        <w:t xml:space="preserve">No </w:t>
      </w:r>
      <w:r w:rsidR="00D80FA3" w:rsidRPr="00D80FA3">
        <w:rPr>
          <w:rFonts w:ascii="Trebuchet MS" w:hAnsi="Trebuchet MS"/>
          <w:color w:val="1F4E79"/>
          <w:sz w:val="22"/>
          <w:szCs w:val="22"/>
          <w:lang w:val="en-GB"/>
        </w:rPr>
        <w:t>2024/2509 on the financial rules applicable to the general budget of the Union</w:t>
      </w:r>
      <w:r w:rsidR="00D80FA3">
        <w:rPr>
          <w:rFonts w:ascii="Trebuchet MS" w:hAnsi="Trebuchet MS"/>
          <w:color w:val="1F4E79"/>
          <w:sz w:val="22"/>
          <w:szCs w:val="22"/>
          <w:lang w:val="en-GB"/>
        </w:rPr>
        <w:t>;</w:t>
      </w:r>
    </w:p>
    <w:p w14:paraId="03954DC4" w14:textId="77777777" w:rsidR="00173715" w:rsidRPr="004A5019" w:rsidRDefault="00DA5EF8" w:rsidP="0043285E">
      <w:pPr>
        <w:pStyle w:val="Default"/>
        <w:numPr>
          <w:ilvl w:val="0"/>
          <w:numId w:val="5"/>
        </w:numPr>
        <w:spacing w:before="120" w:after="120"/>
        <w:jc w:val="both"/>
        <w:rPr>
          <w:rFonts w:ascii="Trebuchet MS" w:hAnsi="Trebuchet MS"/>
          <w:color w:val="1F4E79"/>
          <w:sz w:val="22"/>
          <w:szCs w:val="22"/>
          <w:lang w:val="en-GB"/>
        </w:rPr>
      </w:pPr>
      <w:r w:rsidRPr="004A5019">
        <w:rPr>
          <w:rFonts w:ascii="Trebuchet MS" w:hAnsi="Trebuchet MS"/>
          <w:color w:val="1F4E79"/>
          <w:sz w:val="22"/>
          <w:szCs w:val="22"/>
          <w:lang w:val="en-GB"/>
        </w:rPr>
        <w:t>Regulation (EU) No 2021/1060 (Common provisions regulation);</w:t>
      </w:r>
    </w:p>
    <w:p w14:paraId="11D51353" w14:textId="77777777" w:rsidR="00173715" w:rsidRPr="004A5019" w:rsidRDefault="00DA5EF8" w:rsidP="0043285E">
      <w:pPr>
        <w:pStyle w:val="Default"/>
        <w:numPr>
          <w:ilvl w:val="0"/>
          <w:numId w:val="5"/>
        </w:numPr>
        <w:spacing w:before="120" w:after="120"/>
        <w:jc w:val="both"/>
        <w:rPr>
          <w:rFonts w:ascii="Trebuchet MS" w:hAnsi="Trebuchet MS"/>
          <w:color w:val="1F4E79"/>
          <w:sz w:val="22"/>
          <w:szCs w:val="22"/>
          <w:lang w:val="en-GB"/>
        </w:rPr>
      </w:pPr>
      <w:r w:rsidRPr="004A5019">
        <w:rPr>
          <w:rFonts w:ascii="Trebuchet MS" w:hAnsi="Trebuchet MS"/>
          <w:color w:val="1F4E79"/>
          <w:sz w:val="22"/>
          <w:szCs w:val="22"/>
          <w:lang w:val="en-GB"/>
        </w:rPr>
        <w:t>Regulation (EU) No 2021/1058 (ERDF regulation);</w:t>
      </w:r>
    </w:p>
    <w:p w14:paraId="365316B1" w14:textId="77777777" w:rsidR="00DA5EF8" w:rsidRPr="004A5019" w:rsidRDefault="00DA5EF8" w:rsidP="0043285E">
      <w:pPr>
        <w:pStyle w:val="Default"/>
        <w:numPr>
          <w:ilvl w:val="0"/>
          <w:numId w:val="5"/>
        </w:numPr>
        <w:spacing w:before="120" w:after="120"/>
        <w:jc w:val="both"/>
        <w:rPr>
          <w:rFonts w:ascii="Trebuchet MS" w:hAnsi="Trebuchet MS"/>
          <w:color w:val="1F4E79"/>
          <w:sz w:val="22"/>
          <w:szCs w:val="22"/>
          <w:lang w:val="en-GB"/>
        </w:rPr>
      </w:pPr>
      <w:r w:rsidRPr="004A5019">
        <w:rPr>
          <w:rFonts w:ascii="Trebuchet MS" w:hAnsi="Trebuchet MS"/>
          <w:snapToGrid w:val="0"/>
          <w:color w:val="1F4E79"/>
          <w:sz w:val="22"/>
          <w:szCs w:val="22"/>
          <w:lang w:val="en-GB"/>
        </w:rPr>
        <w:t xml:space="preserve">Regulation </w:t>
      </w:r>
      <w:r w:rsidRPr="004A5019">
        <w:rPr>
          <w:rFonts w:ascii="Trebuchet MS" w:hAnsi="Trebuchet MS"/>
          <w:color w:val="1F4E79"/>
          <w:sz w:val="22"/>
          <w:szCs w:val="22"/>
          <w:lang w:val="en-GB"/>
        </w:rPr>
        <w:t>(EU) No</w:t>
      </w:r>
      <w:r w:rsidRPr="004A5019">
        <w:rPr>
          <w:rFonts w:ascii="Trebuchet MS" w:hAnsi="Trebuchet MS"/>
          <w:snapToGrid w:val="0"/>
          <w:color w:val="1F4E79"/>
          <w:sz w:val="22"/>
          <w:szCs w:val="22"/>
          <w:lang w:val="en-GB"/>
        </w:rPr>
        <w:t xml:space="preserve"> 1059/2021 (Interreg regulation).</w:t>
      </w:r>
      <w:r w:rsidRPr="004A5019">
        <w:rPr>
          <w:rFonts w:ascii="Trebuchet MS" w:hAnsi="Trebuchet MS"/>
          <w:color w:val="1F4E79"/>
          <w:sz w:val="22"/>
          <w:szCs w:val="22"/>
          <w:lang w:val="en-GB"/>
        </w:rPr>
        <w:t xml:space="preserve"> </w:t>
      </w:r>
    </w:p>
    <w:p w14:paraId="2C9A5F57" w14:textId="77777777" w:rsidR="00DA5EF8" w:rsidRPr="004A5019" w:rsidRDefault="00DA5EF8" w:rsidP="0043285E">
      <w:pPr>
        <w:pStyle w:val="Default"/>
        <w:numPr>
          <w:ilvl w:val="0"/>
          <w:numId w:val="4"/>
        </w:numPr>
        <w:spacing w:after="169"/>
        <w:jc w:val="both"/>
        <w:rPr>
          <w:rFonts w:ascii="Trebuchet MS" w:hAnsi="Trebuchet MS"/>
          <w:color w:val="1F4E79"/>
          <w:sz w:val="22"/>
          <w:szCs w:val="22"/>
          <w:lang w:val="en-GB"/>
        </w:rPr>
      </w:pPr>
      <w:r w:rsidRPr="004A5019">
        <w:rPr>
          <w:rFonts w:ascii="Trebuchet MS" w:hAnsi="Trebuchet MS"/>
          <w:color w:val="1F4E79"/>
          <w:sz w:val="22"/>
          <w:szCs w:val="22"/>
          <w:lang w:val="en-GB"/>
        </w:rPr>
        <w:t xml:space="preserve">Programme eligibility rules as set out in this document; </w:t>
      </w:r>
    </w:p>
    <w:p w14:paraId="39485AAE" w14:textId="77777777" w:rsidR="00737850" w:rsidRPr="004A5019" w:rsidRDefault="00DA5EF8" w:rsidP="0043285E">
      <w:pPr>
        <w:pStyle w:val="Default"/>
        <w:numPr>
          <w:ilvl w:val="0"/>
          <w:numId w:val="4"/>
        </w:numPr>
        <w:jc w:val="both"/>
        <w:rPr>
          <w:rFonts w:ascii="Trebuchet MS" w:hAnsi="Trebuchet MS"/>
          <w:color w:val="1F4E79"/>
          <w:sz w:val="22"/>
          <w:szCs w:val="22"/>
          <w:lang w:val="en-GB"/>
        </w:rPr>
      </w:pPr>
      <w:r w:rsidRPr="004A5019">
        <w:rPr>
          <w:rFonts w:ascii="Trebuchet MS" w:hAnsi="Trebuchet MS"/>
          <w:color w:val="1F4E79"/>
          <w:sz w:val="22"/>
          <w:szCs w:val="22"/>
          <w:lang w:val="en-GB"/>
        </w:rPr>
        <w:t xml:space="preserve">National (including institutional) eligibility rules. Such rules only apply for matters not covered by eligibility rules set in the abovementioned EU and programme rules. </w:t>
      </w:r>
    </w:p>
    <w:p w14:paraId="27CBA964" w14:textId="77777777" w:rsidR="00737850" w:rsidRPr="004A5019" w:rsidRDefault="00DA5EF8" w:rsidP="0043285E">
      <w:pPr>
        <w:pStyle w:val="Default"/>
        <w:numPr>
          <w:ilvl w:val="0"/>
          <w:numId w:val="3"/>
        </w:numPr>
        <w:jc w:val="both"/>
        <w:rPr>
          <w:rFonts w:ascii="Trebuchet MS" w:hAnsi="Trebuchet MS"/>
          <w:color w:val="1F4E79"/>
          <w:sz w:val="22"/>
          <w:szCs w:val="22"/>
          <w:lang w:val="en-GB"/>
        </w:rPr>
      </w:pPr>
      <w:r w:rsidRPr="004A5019">
        <w:rPr>
          <w:rFonts w:ascii="Trebuchet MS" w:hAnsi="Trebuchet MS"/>
          <w:color w:val="1F4E79"/>
          <w:sz w:val="22"/>
          <w:szCs w:val="22"/>
          <w:lang w:val="en-GB"/>
        </w:rPr>
        <w:t>This hierarchy of rules only applies to eligibility rules of expenditure. All applicable EU and national rules, apart from eligibility of expenditure, are on a higher hierarchical level than rules set by the Interreg VI-A Romania-Bulgaria Programme and must therefore be followed (e.g. procurement law, law on state aid). In such cases, the partner has to follow the stricter applicable rule.</w:t>
      </w:r>
    </w:p>
    <w:p w14:paraId="4B2E358C" w14:textId="77777777" w:rsidR="00737850" w:rsidRPr="004A5019" w:rsidRDefault="006714DB" w:rsidP="00494306">
      <w:pPr>
        <w:pStyle w:val="Default"/>
        <w:spacing w:before="240" w:after="120"/>
        <w:jc w:val="both"/>
        <w:rPr>
          <w:rFonts w:ascii="Trebuchet MS" w:hAnsi="Trebuchet MS"/>
          <w:snapToGrid w:val="0"/>
          <w:color w:val="1F4E79"/>
          <w:sz w:val="22"/>
          <w:szCs w:val="22"/>
          <w:lang w:val="en-GB"/>
        </w:rPr>
      </w:pPr>
      <w:r w:rsidRPr="004A5019">
        <w:rPr>
          <w:rFonts w:ascii="Trebuchet MS" w:hAnsi="Trebuchet MS"/>
          <w:b/>
          <w:color w:val="1F4E79"/>
          <w:sz w:val="22"/>
          <w:szCs w:val="22"/>
          <w:lang w:val="en-GB"/>
        </w:rPr>
        <w:t xml:space="preserve">Article </w:t>
      </w:r>
      <w:r w:rsidR="00A616B0" w:rsidRPr="004A5019">
        <w:rPr>
          <w:rFonts w:ascii="Trebuchet MS" w:hAnsi="Trebuchet MS"/>
          <w:b/>
          <w:color w:val="1F4E79"/>
          <w:sz w:val="22"/>
          <w:szCs w:val="22"/>
          <w:lang w:val="en-GB"/>
        </w:rPr>
        <w:t>5</w:t>
      </w:r>
      <w:r w:rsidRPr="004A5019">
        <w:rPr>
          <w:rFonts w:ascii="Trebuchet MS" w:hAnsi="Trebuchet MS"/>
          <w:b/>
          <w:color w:val="1F4E79"/>
          <w:sz w:val="22"/>
          <w:szCs w:val="22"/>
          <w:lang w:val="en-GB"/>
        </w:rPr>
        <w:t xml:space="preserve">. </w:t>
      </w:r>
      <w:r w:rsidRPr="004A5019">
        <w:rPr>
          <w:rFonts w:ascii="Trebuchet MS" w:hAnsi="Trebuchet MS"/>
          <w:snapToGrid w:val="0"/>
          <w:color w:val="1F4E79"/>
          <w:sz w:val="22"/>
          <w:szCs w:val="22"/>
          <w:lang w:val="en-GB"/>
        </w:rPr>
        <w:t>The following costs are not eligible:</w:t>
      </w:r>
    </w:p>
    <w:p w14:paraId="46C91BFE" w14:textId="77777777" w:rsidR="00737850" w:rsidRPr="004A5019" w:rsidRDefault="002F0094" w:rsidP="0043285E">
      <w:pPr>
        <w:pStyle w:val="Default"/>
        <w:numPr>
          <w:ilvl w:val="0"/>
          <w:numId w:val="6"/>
        </w:numPr>
        <w:jc w:val="both"/>
        <w:rPr>
          <w:rFonts w:ascii="Trebuchet MS" w:hAnsi="Trebuchet MS"/>
          <w:color w:val="1F4E79"/>
          <w:sz w:val="22"/>
          <w:szCs w:val="22"/>
          <w:lang w:val="en-GB"/>
        </w:rPr>
      </w:pPr>
      <w:r w:rsidRPr="004A5019">
        <w:rPr>
          <w:rFonts w:ascii="Trebuchet MS" w:hAnsi="Trebuchet MS" w:cs="Trebuchet MS"/>
          <w:color w:val="1F4E79"/>
          <w:sz w:val="22"/>
          <w:szCs w:val="22"/>
          <w:lang w:val="en-GB"/>
        </w:rPr>
        <w:t>f</w:t>
      </w:r>
      <w:r w:rsidR="006714DB" w:rsidRPr="004A5019">
        <w:rPr>
          <w:rFonts w:ascii="Trebuchet MS" w:hAnsi="Trebuchet MS" w:cs="Trebuchet MS"/>
          <w:color w:val="1F4E79"/>
          <w:sz w:val="22"/>
          <w:szCs w:val="22"/>
          <w:lang w:val="en-GB"/>
        </w:rPr>
        <w:t xml:space="preserve">ines, financial penalties and expenditure on legal disputes and litigation; </w:t>
      </w:r>
    </w:p>
    <w:p w14:paraId="2C43BAD6" w14:textId="77777777" w:rsidR="00737850" w:rsidRPr="004A5019" w:rsidRDefault="002F0094" w:rsidP="0043285E">
      <w:pPr>
        <w:pStyle w:val="Default"/>
        <w:numPr>
          <w:ilvl w:val="0"/>
          <w:numId w:val="6"/>
        </w:numPr>
        <w:jc w:val="both"/>
        <w:rPr>
          <w:rFonts w:ascii="Trebuchet MS" w:hAnsi="Trebuchet MS"/>
          <w:color w:val="1F4E79"/>
          <w:sz w:val="22"/>
          <w:szCs w:val="22"/>
          <w:lang w:val="en-GB"/>
        </w:rPr>
      </w:pPr>
      <w:r w:rsidRPr="004A5019">
        <w:rPr>
          <w:rFonts w:ascii="Trebuchet MS" w:hAnsi="Trebuchet MS" w:cs="Trebuchet MS"/>
          <w:color w:val="1F4E79"/>
          <w:sz w:val="22"/>
          <w:szCs w:val="22"/>
          <w:lang w:val="en-GB"/>
        </w:rPr>
        <w:t>c</w:t>
      </w:r>
      <w:r w:rsidR="006714DB" w:rsidRPr="004A5019">
        <w:rPr>
          <w:rFonts w:ascii="Trebuchet MS" w:hAnsi="Trebuchet MS" w:cs="Trebuchet MS"/>
          <w:color w:val="1F4E79"/>
          <w:sz w:val="22"/>
          <w:szCs w:val="22"/>
          <w:lang w:val="en-GB"/>
        </w:rPr>
        <w:t xml:space="preserve">osts of gifts; </w:t>
      </w:r>
    </w:p>
    <w:p w14:paraId="3D637C3C" w14:textId="77777777" w:rsidR="00737850" w:rsidRPr="004A5019" w:rsidRDefault="002F0094" w:rsidP="0043285E">
      <w:pPr>
        <w:pStyle w:val="Default"/>
        <w:numPr>
          <w:ilvl w:val="0"/>
          <w:numId w:val="6"/>
        </w:numPr>
        <w:jc w:val="both"/>
        <w:rPr>
          <w:rFonts w:ascii="Trebuchet MS" w:hAnsi="Trebuchet MS"/>
          <w:color w:val="1F4E79"/>
          <w:sz w:val="22"/>
          <w:szCs w:val="22"/>
          <w:lang w:val="en-GB"/>
        </w:rPr>
      </w:pPr>
      <w:r w:rsidRPr="004A5019">
        <w:rPr>
          <w:rFonts w:ascii="Trebuchet MS" w:hAnsi="Trebuchet MS" w:cs="Trebuchet MS"/>
          <w:color w:val="1F4E79"/>
          <w:sz w:val="22"/>
          <w:szCs w:val="22"/>
          <w:lang w:val="en-GB"/>
        </w:rPr>
        <w:t>c</w:t>
      </w:r>
      <w:r w:rsidR="006714DB" w:rsidRPr="004A5019">
        <w:rPr>
          <w:rFonts w:ascii="Trebuchet MS" w:hAnsi="Trebuchet MS" w:cs="Trebuchet MS"/>
          <w:color w:val="1F4E79"/>
          <w:sz w:val="22"/>
          <w:szCs w:val="22"/>
          <w:lang w:val="en-GB"/>
        </w:rPr>
        <w:t>osts related to fluctuation of foreign exchange rate;</w:t>
      </w:r>
    </w:p>
    <w:p w14:paraId="2CA1D121" w14:textId="77777777" w:rsidR="00737850" w:rsidRPr="004A5019" w:rsidRDefault="002F0094" w:rsidP="0043285E">
      <w:pPr>
        <w:pStyle w:val="Default"/>
        <w:numPr>
          <w:ilvl w:val="0"/>
          <w:numId w:val="6"/>
        </w:numPr>
        <w:jc w:val="both"/>
        <w:rPr>
          <w:rFonts w:ascii="Trebuchet MS" w:hAnsi="Trebuchet MS"/>
          <w:color w:val="1F4E79"/>
          <w:sz w:val="22"/>
          <w:szCs w:val="22"/>
          <w:lang w:val="en-GB"/>
        </w:rPr>
      </w:pPr>
      <w:r w:rsidRPr="004A5019">
        <w:rPr>
          <w:rFonts w:ascii="Trebuchet MS" w:hAnsi="Trebuchet MS" w:cs="Trebuchet MS"/>
          <w:color w:val="1F4E79"/>
          <w:sz w:val="22"/>
          <w:szCs w:val="22"/>
          <w:lang w:val="en-GB"/>
        </w:rPr>
        <w:t>i</w:t>
      </w:r>
      <w:r w:rsidR="006714DB" w:rsidRPr="004A5019">
        <w:rPr>
          <w:rFonts w:ascii="Trebuchet MS" w:hAnsi="Trebuchet MS" w:cs="Trebuchet MS"/>
          <w:color w:val="1F4E79"/>
          <w:sz w:val="22"/>
          <w:szCs w:val="22"/>
          <w:lang w:val="en-GB"/>
        </w:rPr>
        <w:t>nterest on debts;</w:t>
      </w:r>
    </w:p>
    <w:p w14:paraId="56E0B5D4" w14:textId="77777777" w:rsidR="00737850" w:rsidRPr="004A5019" w:rsidRDefault="002F0094" w:rsidP="0043285E">
      <w:pPr>
        <w:pStyle w:val="Default"/>
        <w:numPr>
          <w:ilvl w:val="0"/>
          <w:numId w:val="6"/>
        </w:numPr>
        <w:jc w:val="both"/>
        <w:rPr>
          <w:rFonts w:ascii="Trebuchet MS" w:hAnsi="Trebuchet MS"/>
          <w:color w:val="1F4E79"/>
          <w:sz w:val="22"/>
          <w:szCs w:val="22"/>
          <w:lang w:val="en-GB"/>
        </w:rPr>
      </w:pPr>
      <w:r w:rsidRPr="004A5019">
        <w:rPr>
          <w:rFonts w:ascii="Trebuchet MS" w:hAnsi="Trebuchet MS" w:cs="Trebuchet MS"/>
          <w:color w:val="1F4E79"/>
          <w:sz w:val="22"/>
          <w:szCs w:val="22"/>
          <w:lang w:val="en-GB"/>
        </w:rPr>
        <w:t>c</w:t>
      </w:r>
      <w:r w:rsidR="006714DB" w:rsidRPr="004A5019">
        <w:rPr>
          <w:rFonts w:ascii="Trebuchet MS" w:hAnsi="Trebuchet MS" w:cs="Trebuchet MS"/>
          <w:color w:val="1F4E79"/>
          <w:sz w:val="22"/>
          <w:szCs w:val="22"/>
          <w:lang w:val="en-GB"/>
        </w:rPr>
        <w:t>osts for alcoholic beverages;</w:t>
      </w:r>
    </w:p>
    <w:p w14:paraId="05AC73DD" w14:textId="77777777" w:rsidR="00FA6B2F" w:rsidRPr="004A5019" w:rsidRDefault="00FA6B2F" w:rsidP="00FA6B2F">
      <w:pPr>
        <w:pStyle w:val="Default"/>
        <w:numPr>
          <w:ilvl w:val="0"/>
          <w:numId w:val="6"/>
        </w:numPr>
        <w:jc w:val="both"/>
        <w:rPr>
          <w:rFonts w:ascii="Trebuchet MS" w:hAnsi="Trebuchet MS" w:cs="Trebuchet MS"/>
          <w:color w:val="1F4E79"/>
          <w:sz w:val="22"/>
          <w:szCs w:val="22"/>
          <w:lang w:val="en-GB"/>
        </w:rPr>
      </w:pPr>
      <w:r w:rsidRPr="004A5019">
        <w:rPr>
          <w:rFonts w:ascii="Trebuchet MS" w:hAnsi="Trebuchet MS" w:cs="Trebuchet MS"/>
          <w:color w:val="1F4E79"/>
          <w:sz w:val="22"/>
          <w:szCs w:val="22"/>
          <w:lang w:val="en-GB"/>
        </w:rPr>
        <w:t>value added tax (‘VAT’), except:</w:t>
      </w:r>
    </w:p>
    <w:p w14:paraId="43E5A3B3" w14:textId="77777777" w:rsidR="00FA6B2F" w:rsidRPr="004A5019" w:rsidRDefault="00FA6B2F" w:rsidP="006C4CA8">
      <w:pPr>
        <w:pStyle w:val="Default"/>
        <w:numPr>
          <w:ilvl w:val="0"/>
          <w:numId w:val="25"/>
        </w:numPr>
        <w:jc w:val="both"/>
        <w:rPr>
          <w:rFonts w:ascii="Trebuchet MS" w:hAnsi="Trebuchet MS" w:cs="Trebuchet MS"/>
          <w:color w:val="1F4E79"/>
          <w:sz w:val="22"/>
          <w:szCs w:val="22"/>
          <w:lang w:val="en-GB"/>
        </w:rPr>
      </w:pPr>
      <w:r w:rsidRPr="004A5019">
        <w:rPr>
          <w:rFonts w:ascii="Trebuchet MS" w:hAnsi="Trebuchet MS" w:cs="Trebuchet MS"/>
          <w:color w:val="1F4E79"/>
          <w:sz w:val="22"/>
          <w:szCs w:val="22"/>
          <w:lang w:val="en-GB"/>
        </w:rPr>
        <w:t>for operations the total cost of which is below EUR 5 000 000(including VAT);</w:t>
      </w:r>
    </w:p>
    <w:p w14:paraId="5BC5EFA1" w14:textId="77777777" w:rsidR="00FA6B2F" w:rsidRPr="004A5019" w:rsidRDefault="00FA6B2F" w:rsidP="006C4CA8">
      <w:pPr>
        <w:pStyle w:val="Default"/>
        <w:numPr>
          <w:ilvl w:val="0"/>
          <w:numId w:val="25"/>
        </w:numPr>
        <w:jc w:val="both"/>
        <w:rPr>
          <w:rFonts w:ascii="Trebuchet MS" w:hAnsi="Trebuchet MS" w:cs="Trebuchet MS"/>
          <w:color w:val="1F4E79"/>
          <w:sz w:val="22"/>
          <w:szCs w:val="22"/>
          <w:lang w:val="en-GB"/>
        </w:rPr>
      </w:pPr>
      <w:r w:rsidRPr="004A5019">
        <w:rPr>
          <w:rFonts w:ascii="Trebuchet MS" w:hAnsi="Trebuchet MS" w:cs="Trebuchet MS"/>
          <w:color w:val="1F4E79"/>
          <w:sz w:val="22"/>
          <w:szCs w:val="22"/>
          <w:lang w:val="en-GB"/>
        </w:rPr>
        <w:t>for operations the total cost of which is at least EUR 5 000 000(including VAT) where it is non-recoverable under national VAT legislation;</w:t>
      </w:r>
    </w:p>
    <w:p w14:paraId="5386D904" w14:textId="77777777" w:rsidR="00737850" w:rsidRPr="00252426" w:rsidRDefault="002F0094" w:rsidP="0046633C">
      <w:pPr>
        <w:pStyle w:val="Default"/>
        <w:numPr>
          <w:ilvl w:val="0"/>
          <w:numId w:val="6"/>
        </w:numPr>
        <w:jc w:val="both"/>
        <w:rPr>
          <w:rFonts w:ascii="Trebuchet MS" w:hAnsi="Trebuchet MS"/>
          <w:color w:val="1F4E79"/>
          <w:sz w:val="22"/>
          <w:szCs w:val="22"/>
          <w:lang w:val="en-GB"/>
        </w:rPr>
      </w:pPr>
      <w:r w:rsidRPr="004A5019">
        <w:rPr>
          <w:rFonts w:ascii="Trebuchet MS" w:hAnsi="Trebuchet MS" w:cs="Trebuchet MS"/>
          <w:color w:val="1F4E79"/>
          <w:sz w:val="22"/>
          <w:szCs w:val="22"/>
          <w:lang w:val="en-GB"/>
        </w:rPr>
        <w:t>t</w:t>
      </w:r>
      <w:r w:rsidR="006714DB" w:rsidRPr="004A5019">
        <w:rPr>
          <w:rFonts w:ascii="Trebuchet MS" w:hAnsi="Trebuchet MS" w:cs="Trebuchet MS"/>
          <w:color w:val="1F4E79"/>
          <w:sz w:val="22"/>
          <w:szCs w:val="22"/>
          <w:lang w:val="en-GB"/>
        </w:rPr>
        <w:t>he purchase of land for an amount exceeding 10% of the total eligible expenditure for the operation concerned; for derelict sites and for those formerly in industrial use which comprise buildings, that limit shall be increased to 15%;</w:t>
      </w:r>
    </w:p>
    <w:p w14:paraId="77404D02" w14:textId="77777777" w:rsidR="006714DB" w:rsidRPr="004A5019" w:rsidRDefault="00CC1AC7" w:rsidP="00494306">
      <w:pPr>
        <w:spacing w:before="240" w:after="120"/>
        <w:jc w:val="both"/>
        <w:rPr>
          <w:rFonts w:ascii="Trebuchet MS" w:hAnsi="Trebuchet MS"/>
          <w:color w:val="1F4E79"/>
          <w:sz w:val="22"/>
          <w:szCs w:val="22"/>
          <w:lang w:val="en-GB"/>
        </w:rPr>
      </w:pPr>
      <w:r w:rsidRPr="004A5019">
        <w:rPr>
          <w:rFonts w:ascii="Trebuchet MS" w:hAnsi="Trebuchet MS"/>
          <w:b/>
          <w:color w:val="1F4E79"/>
          <w:sz w:val="22"/>
          <w:szCs w:val="22"/>
          <w:lang w:val="en-GB"/>
        </w:rPr>
        <w:t>Article 6.</w:t>
      </w:r>
      <w:r w:rsidR="00B71F52">
        <w:rPr>
          <w:rFonts w:ascii="Trebuchet MS" w:hAnsi="Trebuchet MS"/>
          <w:b/>
          <w:color w:val="1F4E79"/>
          <w:sz w:val="22"/>
          <w:szCs w:val="22"/>
          <w:lang w:val="en-GB"/>
        </w:rPr>
        <w:t xml:space="preserve"> (1)</w:t>
      </w:r>
      <w:r w:rsidRPr="004A5019">
        <w:rPr>
          <w:rFonts w:ascii="Trebuchet MS" w:hAnsi="Trebuchet MS"/>
          <w:b/>
          <w:color w:val="1F4E79"/>
          <w:sz w:val="22"/>
          <w:szCs w:val="22"/>
          <w:lang w:val="en-GB"/>
        </w:rPr>
        <w:t xml:space="preserve"> </w:t>
      </w:r>
      <w:r w:rsidRPr="004A5019">
        <w:rPr>
          <w:rFonts w:ascii="Trebuchet MS" w:hAnsi="Trebuchet MS"/>
          <w:color w:val="1F4E79"/>
          <w:sz w:val="22"/>
          <w:szCs w:val="22"/>
          <w:lang w:val="en-GB"/>
        </w:rPr>
        <w:t xml:space="preserve">Without prejudice to the eligibility rules laid down in or on the basis of Articles </w:t>
      </w:r>
      <w:r w:rsidR="00B21CF2" w:rsidRPr="004A5019">
        <w:rPr>
          <w:rFonts w:ascii="Trebuchet MS" w:hAnsi="Trebuchet MS"/>
          <w:color w:val="1F4E79"/>
          <w:sz w:val="22"/>
          <w:szCs w:val="22"/>
          <w:lang w:val="en-GB"/>
        </w:rPr>
        <w:t>63 to 68 of Regulation (EU) 2021/1060</w:t>
      </w:r>
      <w:r w:rsidRPr="004A5019">
        <w:rPr>
          <w:rFonts w:ascii="Trebuchet MS" w:hAnsi="Trebuchet MS"/>
          <w:color w:val="1F4E79"/>
          <w:sz w:val="22"/>
          <w:szCs w:val="22"/>
          <w:lang w:val="en-GB"/>
        </w:rPr>
        <w:t>,</w:t>
      </w:r>
      <w:r w:rsidR="001C74DC" w:rsidRPr="004A5019">
        <w:rPr>
          <w:rFonts w:ascii="Trebuchet MS" w:hAnsi="Trebuchet MS"/>
          <w:color w:val="1F4E79"/>
          <w:sz w:val="22"/>
          <w:szCs w:val="22"/>
          <w:lang w:val="en-GB"/>
        </w:rPr>
        <w:t xml:space="preserve"> Regulation (EU) </w:t>
      </w:r>
      <w:r w:rsidR="001C74DC" w:rsidRPr="004A5019">
        <w:rPr>
          <w:rFonts w:ascii="Trebuchet MS" w:hAnsi="Trebuchet MS" w:cs="EC Square Sans Pro"/>
          <w:color w:val="1F4E79"/>
          <w:sz w:val="22"/>
          <w:szCs w:val="22"/>
          <w:lang w:val="en-GB"/>
        </w:rPr>
        <w:t>2021/1058</w:t>
      </w:r>
      <w:r w:rsidR="00847905" w:rsidRPr="004A5019">
        <w:rPr>
          <w:rFonts w:ascii="Trebuchet MS" w:hAnsi="Trebuchet MS" w:cs="EC Square Sans Pro"/>
          <w:color w:val="1F4E79"/>
          <w:sz w:val="22"/>
          <w:szCs w:val="22"/>
          <w:lang w:val="en-GB"/>
        </w:rPr>
        <w:t xml:space="preserve"> and</w:t>
      </w:r>
      <w:r w:rsidRPr="004A5019">
        <w:rPr>
          <w:rFonts w:ascii="Trebuchet MS" w:hAnsi="Trebuchet MS"/>
          <w:color w:val="1F4E79"/>
          <w:sz w:val="22"/>
          <w:szCs w:val="22"/>
          <w:lang w:val="en-GB"/>
        </w:rPr>
        <w:t xml:space="preserve"> Regulation (EU) No </w:t>
      </w:r>
      <w:r w:rsidR="001C74DC" w:rsidRPr="004A5019">
        <w:rPr>
          <w:rFonts w:ascii="Trebuchet MS" w:hAnsi="Trebuchet MS"/>
          <w:color w:val="1F4E79"/>
          <w:sz w:val="22"/>
          <w:szCs w:val="22"/>
          <w:lang w:val="en-GB"/>
        </w:rPr>
        <w:t>2021/1059</w:t>
      </w:r>
      <w:r w:rsidRPr="004A5019">
        <w:rPr>
          <w:rFonts w:ascii="Trebuchet MS" w:hAnsi="Trebuchet MS"/>
          <w:color w:val="1F4E79"/>
          <w:sz w:val="22"/>
          <w:szCs w:val="22"/>
          <w:lang w:val="en-GB"/>
        </w:rPr>
        <w:t>, this document sets out specific rules on eligibility of expenditure for Interreg V</w:t>
      </w:r>
      <w:r w:rsidR="00847905" w:rsidRPr="004A5019">
        <w:rPr>
          <w:rFonts w:ascii="Trebuchet MS" w:hAnsi="Trebuchet MS"/>
          <w:color w:val="1F4E79"/>
          <w:sz w:val="22"/>
          <w:szCs w:val="22"/>
          <w:lang w:val="en-GB"/>
        </w:rPr>
        <w:t>I</w:t>
      </w:r>
      <w:r w:rsidRPr="004A5019">
        <w:rPr>
          <w:rFonts w:ascii="Trebuchet MS" w:hAnsi="Trebuchet MS"/>
          <w:color w:val="1F4E79"/>
          <w:sz w:val="22"/>
          <w:szCs w:val="22"/>
          <w:lang w:val="en-GB"/>
        </w:rPr>
        <w:t>-A Romania-Bulgaria Programme with regards to the following expenditure categories:</w:t>
      </w:r>
    </w:p>
    <w:p w14:paraId="78D74EC4" w14:textId="77777777" w:rsidR="009D3695" w:rsidRPr="004A5019" w:rsidRDefault="009D3695" w:rsidP="0043285E">
      <w:pPr>
        <w:numPr>
          <w:ilvl w:val="0"/>
          <w:numId w:val="7"/>
        </w:numPr>
        <w:autoSpaceDE w:val="0"/>
        <w:autoSpaceDN w:val="0"/>
        <w:adjustRightInd w:val="0"/>
        <w:spacing w:before="120" w:after="120"/>
        <w:jc w:val="both"/>
        <w:rPr>
          <w:rFonts w:ascii="Trebuchet MS" w:hAnsi="Trebuchet MS" w:cs="Trebuchet MS"/>
          <w:color w:val="1F4E79"/>
          <w:sz w:val="22"/>
          <w:szCs w:val="22"/>
          <w:lang w:val="en-GB"/>
        </w:rPr>
      </w:pPr>
      <w:r w:rsidRPr="004A5019">
        <w:rPr>
          <w:rFonts w:ascii="Trebuchet MS" w:hAnsi="Trebuchet MS" w:cs="Trebuchet MS"/>
          <w:color w:val="1F4E79"/>
          <w:sz w:val="22"/>
          <w:szCs w:val="22"/>
          <w:lang w:val="en-GB"/>
        </w:rPr>
        <w:t>Staff costs;</w:t>
      </w:r>
    </w:p>
    <w:p w14:paraId="76F5BDF2" w14:textId="77777777" w:rsidR="009D3695" w:rsidRPr="004A5019" w:rsidRDefault="009D3695" w:rsidP="0043285E">
      <w:pPr>
        <w:numPr>
          <w:ilvl w:val="0"/>
          <w:numId w:val="7"/>
        </w:numPr>
        <w:autoSpaceDE w:val="0"/>
        <w:autoSpaceDN w:val="0"/>
        <w:adjustRightInd w:val="0"/>
        <w:spacing w:before="120" w:after="120"/>
        <w:jc w:val="both"/>
        <w:rPr>
          <w:rFonts w:ascii="Trebuchet MS" w:hAnsi="Trebuchet MS" w:cs="Trebuchet MS"/>
          <w:color w:val="1F4E79"/>
          <w:sz w:val="22"/>
          <w:szCs w:val="22"/>
          <w:lang w:val="en-GB"/>
        </w:rPr>
      </w:pPr>
      <w:r w:rsidRPr="004A5019">
        <w:rPr>
          <w:rFonts w:ascii="Trebuchet MS" w:hAnsi="Trebuchet MS" w:cs="Trebuchet MS"/>
          <w:color w:val="1F4E79"/>
          <w:sz w:val="22"/>
          <w:szCs w:val="22"/>
          <w:lang w:val="en-GB"/>
        </w:rPr>
        <w:t>Office and administrative costs;</w:t>
      </w:r>
    </w:p>
    <w:p w14:paraId="4C84D9C9" w14:textId="77777777" w:rsidR="009D3695" w:rsidRPr="004A5019" w:rsidRDefault="009D3695" w:rsidP="0043285E">
      <w:pPr>
        <w:numPr>
          <w:ilvl w:val="0"/>
          <w:numId w:val="7"/>
        </w:numPr>
        <w:autoSpaceDE w:val="0"/>
        <w:autoSpaceDN w:val="0"/>
        <w:adjustRightInd w:val="0"/>
        <w:spacing w:before="120" w:after="120"/>
        <w:jc w:val="both"/>
        <w:rPr>
          <w:rFonts w:ascii="Trebuchet MS" w:hAnsi="Trebuchet MS" w:cs="Trebuchet MS"/>
          <w:color w:val="1F4E79"/>
          <w:sz w:val="22"/>
          <w:szCs w:val="22"/>
          <w:lang w:val="en-GB"/>
        </w:rPr>
      </w:pPr>
      <w:r w:rsidRPr="004A5019">
        <w:rPr>
          <w:rFonts w:ascii="Trebuchet MS" w:hAnsi="Trebuchet MS" w:cs="Trebuchet MS"/>
          <w:color w:val="1F4E79"/>
          <w:sz w:val="22"/>
          <w:szCs w:val="22"/>
          <w:lang w:val="en-GB"/>
        </w:rPr>
        <w:t>Travel and accommodation costs;</w:t>
      </w:r>
    </w:p>
    <w:p w14:paraId="1FA3CB03" w14:textId="77777777" w:rsidR="009D3695" w:rsidRPr="004A5019" w:rsidRDefault="009D3695" w:rsidP="0043285E">
      <w:pPr>
        <w:numPr>
          <w:ilvl w:val="0"/>
          <w:numId w:val="7"/>
        </w:numPr>
        <w:autoSpaceDE w:val="0"/>
        <w:autoSpaceDN w:val="0"/>
        <w:adjustRightInd w:val="0"/>
        <w:spacing w:before="120" w:after="120"/>
        <w:jc w:val="both"/>
        <w:rPr>
          <w:rFonts w:ascii="Trebuchet MS" w:hAnsi="Trebuchet MS" w:cs="Trebuchet MS"/>
          <w:color w:val="1F4E79"/>
          <w:sz w:val="22"/>
          <w:szCs w:val="22"/>
          <w:lang w:val="en-GB"/>
        </w:rPr>
      </w:pPr>
      <w:r w:rsidRPr="004A5019">
        <w:rPr>
          <w:rFonts w:ascii="Trebuchet MS" w:hAnsi="Trebuchet MS" w:cs="Trebuchet MS"/>
          <w:color w:val="1F4E79"/>
          <w:sz w:val="22"/>
          <w:szCs w:val="22"/>
          <w:lang w:val="en-GB"/>
        </w:rPr>
        <w:t>External expertise and services costs;</w:t>
      </w:r>
    </w:p>
    <w:p w14:paraId="69B00782" w14:textId="77777777" w:rsidR="009D3695" w:rsidRPr="004A5019" w:rsidRDefault="009D3695" w:rsidP="0043285E">
      <w:pPr>
        <w:numPr>
          <w:ilvl w:val="0"/>
          <w:numId w:val="7"/>
        </w:numPr>
        <w:autoSpaceDE w:val="0"/>
        <w:autoSpaceDN w:val="0"/>
        <w:adjustRightInd w:val="0"/>
        <w:spacing w:before="120" w:after="120"/>
        <w:jc w:val="both"/>
        <w:rPr>
          <w:rFonts w:ascii="Trebuchet MS" w:hAnsi="Trebuchet MS" w:cs="Trebuchet MS"/>
          <w:color w:val="1F4E79"/>
          <w:sz w:val="22"/>
          <w:szCs w:val="22"/>
          <w:lang w:val="en-GB"/>
        </w:rPr>
      </w:pPr>
      <w:r w:rsidRPr="004A5019">
        <w:rPr>
          <w:rFonts w:ascii="Trebuchet MS" w:hAnsi="Trebuchet MS" w:cs="Trebuchet MS"/>
          <w:color w:val="1F4E79"/>
          <w:sz w:val="22"/>
          <w:szCs w:val="22"/>
          <w:lang w:val="en-GB"/>
        </w:rPr>
        <w:t>Equipment costs;</w:t>
      </w:r>
    </w:p>
    <w:p w14:paraId="211CE2C4" w14:textId="77777777" w:rsidR="009D3695" w:rsidRDefault="009D3695" w:rsidP="0043285E">
      <w:pPr>
        <w:numPr>
          <w:ilvl w:val="0"/>
          <w:numId w:val="7"/>
        </w:numPr>
        <w:autoSpaceDE w:val="0"/>
        <w:autoSpaceDN w:val="0"/>
        <w:adjustRightInd w:val="0"/>
        <w:spacing w:before="120" w:after="120"/>
        <w:jc w:val="both"/>
        <w:rPr>
          <w:rFonts w:ascii="Trebuchet MS" w:hAnsi="Trebuchet MS" w:cs="Trebuchet MS"/>
          <w:color w:val="1F4E79"/>
          <w:sz w:val="22"/>
          <w:szCs w:val="22"/>
          <w:lang w:val="en-GB"/>
        </w:rPr>
      </w:pPr>
      <w:r w:rsidRPr="004A5019">
        <w:rPr>
          <w:rFonts w:ascii="Trebuchet MS" w:hAnsi="Trebuchet MS" w:cs="Trebuchet MS"/>
          <w:color w:val="1F4E79"/>
          <w:sz w:val="22"/>
          <w:szCs w:val="22"/>
          <w:lang w:val="en-GB"/>
        </w:rPr>
        <w:t>Costs for infrastructure and works.</w:t>
      </w:r>
    </w:p>
    <w:p w14:paraId="6C343931" w14:textId="77777777" w:rsidR="00B71F52" w:rsidRPr="004A5019" w:rsidRDefault="00B71F52" w:rsidP="00B71F52">
      <w:pPr>
        <w:autoSpaceDE w:val="0"/>
        <w:autoSpaceDN w:val="0"/>
        <w:adjustRightInd w:val="0"/>
        <w:spacing w:before="120" w:after="120"/>
        <w:jc w:val="both"/>
        <w:rPr>
          <w:rFonts w:ascii="Trebuchet MS" w:hAnsi="Trebuchet MS" w:cs="Trebuchet MS"/>
          <w:color w:val="1F4E79"/>
          <w:sz w:val="22"/>
          <w:szCs w:val="22"/>
          <w:lang w:val="en-GB"/>
        </w:rPr>
      </w:pPr>
      <w:r>
        <w:rPr>
          <w:rFonts w:ascii="Trebuchet MS" w:hAnsi="Trebuchet MS" w:cs="Trebuchet MS"/>
          <w:color w:val="1F4E79"/>
          <w:sz w:val="22"/>
          <w:szCs w:val="22"/>
          <w:lang w:val="en-GB"/>
        </w:rPr>
        <w:t xml:space="preserve">(2) </w:t>
      </w:r>
      <w:r w:rsidR="002F0D4C">
        <w:rPr>
          <w:rFonts w:ascii="Trebuchet MS" w:hAnsi="Trebuchet MS" w:cs="Trebuchet MS"/>
          <w:color w:val="1F4E79"/>
          <w:sz w:val="22"/>
          <w:szCs w:val="22"/>
          <w:lang w:val="en-GB"/>
        </w:rPr>
        <w:t>T</w:t>
      </w:r>
      <w:r>
        <w:rPr>
          <w:rFonts w:ascii="Trebuchet MS" w:hAnsi="Trebuchet MS" w:cs="Trebuchet MS"/>
          <w:color w:val="1F4E79"/>
          <w:sz w:val="22"/>
          <w:szCs w:val="22"/>
          <w:lang w:val="en-GB"/>
        </w:rPr>
        <w:t xml:space="preserve">he starting date of the expenditure eligibility, other than preparation costs, is set by specific provisions </w:t>
      </w:r>
      <w:r w:rsidRPr="00B71F52">
        <w:rPr>
          <w:rFonts w:ascii="Trebuchet MS" w:hAnsi="Trebuchet MS" w:cs="Trebuchet MS"/>
          <w:color w:val="1F4E79"/>
          <w:sz w:val="22"/>
          <w:szCs w:val="22"/>
          <w:lang w:val="en-GB"/>
        </w:rPr>
        <w:t>with</w:t>
      </w:r>
      <w:r>
        <w:rPr>
          <w:rFonts w:ascii="Trebuchet MS" w:hAnsi="Trebuchet MS" w:cs="Trebuchet MS"/>
          <w:color w:val="1F4E79"/>
          <w:sz w:val="22"/>
          <w:szCs w:val="22"/>
          <w:lang w:val="en-GB"/>
        </w:rPr>
        <w:t>in</w:t>
      </w:r>
      <w:r w:rsidRPr="00B71F52">
        <w:rPr>
          <w:rFonts w:ascii="Trebuchet MS" w:hAnsi="Trebuchet MS" w:cs="Trebuchet MS"/>
          <w:color w:val="1F4E79"/>
          <w:sz w:val="22"/>
          <w:szCs w:val="22"/>
          <w:lang w:val="en-GB"/>
        </w:rPr>
        <w:t xml:space="preserve"> the </w:t>
      </w:r>
      <w:r w:rsidR="006C53EB" w:rsidRPr="006C53EB">
        <w:rPr>
          <w:rFonts w:ascii="Trebuchet MS" w:hAnsi="Trebuchet MS" w:cs="Trebuchet MS"/>
          <w:color w:val="1F4E79"/>
          <w:sz w:val="22"/>
          <w:szCs w:val="22"/>
          <w:lang w:val="en-GB"/>
        </w:rPr>
        <w:t>Invitation for submission of the full application</w:t>
      </w:r>
      <w:r w:rsidR="001C7EC9">
        <w:rPr>
          <w:rFonts w:ascii="Trebuchet MS" w:hAnsi="Trebuchet MS" w:cs="Trebuchet MS"/>
          <w:color w:val="1F4E79"/>
          <w:sz w:val="22"/>
          <w:szCs w:val="22"/>
          <w:lang w:val="en-GB"/>
        </w:rPr>
        <w:t xml:space="preserve"> or the relevant </w:t>
      </w:r>
      <w:r w:rsidRPr="00B71F52">
        <w:rPr>
          <w:rFonts w:ascii="Trebuchet MS" w:hAnsi="Trebuchet MS" w:cs="Trebuchet MS"/>
          <w:color w:val="1F4E79"/>
          <w:sz w:val="22"/>
          <w:szCs w:val="22"/>
          <w:lang w:val="en-GB"/>
        </w:rPr>
        <w:t>Applicant’s Guide for each call</w:t>
      </w:r>
      <w:r w:rsidR="006C53EB">
        <w:rPr>
          <w:rFonts w:ascii="Trebuchet MS" w:hAnsi="Trebuchet MS" w:cs="Trebuchet MS"/>
          <w:color w:val="1F4E79"/>
          <w:sz w:val="22"/>
          <w:szCs w:val="22"/>
          <w:lang w:val="en-GB"/>
        </w:rPr>
        <w:t>.</w:t>
      </w:r>
    </w:p>
    <w:p w14:paraId="2A82EB49" w14:textId="77777777" w:rsidR="00C43E41" w:rsidRPr="004A5019" w:rsidRDefault="007C543D" w:rsidP="00C43E41">
      <w:pPr>
        <w:spacing w:before="240" w:after="120"/>
        <w:jc w:val="both"/>
        <w:rPr>
          <w:rFonts w:ascii="Trebuchet MS" w:hAnsi="Trebuchet MS"/>
          <w:b/>
          <w:color w:val="1F4E79"/>
          <w:sz w:val="22"/>
          <w:szCs w:val="22"/>
          <w:lang w:val="en-GB"/>
        </w:rPr>
      </w:pPr>
      <w:r w:rsidRPr="004A5019">
        <w:rPr>
          <w:rFonts w:ascii="Trebuchet MS" w:hAnsi="Trebuchet MS"/>
          <w:b/>
          <w:color w:val="1F4E79"/>
          <w:sz w:val="22"/>
          <w:szCs w:val="22"/>
          <w:lang w:val="en-GB"/>
        </w:rPr>
        <w:lastRenderedPageBreak/>
        <w:t>Article 7.</w:t>
      </w:r>
      <w:r w:rsidR="00A66A9A" w:rsidRPr="004A5019">
        <w:rPr>
          <w:rFonts w:ascii="Trebuchet MS" w:hAnsi="Trebuchet MS"/>
          <w:b/>
          <w:color w:val="1F4E79"/>
          <w:sz w:val="22"/>
          <w:szCs w:val="22"/>
          <w:lang w:val="en-GB"/>
        </w:rPr>
        <w:t xml:space="preserve"> </w:t>
      </w:r>
    </w:p>
    <w:p w14:paraId="7B892B4E" w14:textId="77777777" w:rsidR="00A66A9A" w:rsidRPr="004A5019" w:rsidRDefault="00A66A9A" w:rsidP="00C43E41">
      <w:pPr>
        <w:spacing w:before="120" w:after="120"/>
        <w:jc w:val="both"/>
        <w:rPr>
          <w:rFonts w:ascii="Trebuchet MS" w:hAnsi="Trebuchet MS"/>
          <w:b/>
          <w:color w:val="1F4E79"/>
          <w:sz w:val="22"/>
          <w:szCs w:val="22"/>
          <w:lang w:val="en-GB"/>
        </w:rPr>
      </w:pPr>
      <w:r w:rsidRPr="004A5019">
        <w:rPr>
          <w:rFonts w:ascii="Trebuchet MS" w:hAnsi="Trebuchet MS"/>
          <w:b/>
          <w:color w:val="1F4E79"/>
          <w:sz w:val="22"/>
          <w:szCs w:val="22"/>
          <w:lang w:val="en-GB"/>
        </w:rPr>
        <w:t xml:space="preserve">(1) </w:t>
      </w:r>
      <w:r w:rsidRPr="004A5019">
        <w:rPr>
          <w:rFonts w:ascii="Trebuchet MS" w:hAnsi="Trebuchet MS"/>
          <w:color w:val="1F4E79"/>
          <w:sz w:val="22"/>
          <w:szCs w:val="22"/>
          <w:lang w:val="en-GB"/>
        </w:rPr>
        <w:t>For the purpose of this document, the direct costs shall include the following expenditure categories:</w:t>
      </w:r>
    </w:p>
    <w:p w14:paraId="584F3CBB" w14:textId="77777777" w:rsidR="00A66A9A" w:rsidRPr="004A5019" w:rsidRDefault="00A66A9A" w:rsidP="0043285E">
      <w:pPr>
        <w:numPr>
          <w:ilvl w:val="0"/>
          <w:numId w:val="8"/>
        </w:numPr>
        <w:autoSpaceDE w:val="0"/>
        <w:autoSpaceDN w:val="0"/>
        <w:adjustRightInd w:val="0"/>
        <w:spacing w:before="120" w:after="120"/>
        <w:jc w:val="both"/>
        <w:rPr>
          <w:rFonts w:ascii="Trebuchet MS" w:hAnsi="Trebuchet MS" w:cs="Trebuchet MS"/>
          <w:color w:val="1F4E79"/>
          <w:sz w:val="22"/>
          <w:szCs w:val="22"/>
          <w:lang w:val="en-GB"/>
        </w:rPr>
      </w:pPr>
      <w:r w:rsidRPr="004A5019">
        <w:rPr>
          <w:rFonts w:ascii="Trebuchet MS" w:hAnsi="Trebuchet MS" w:cs="Trebuchet MS"/>
          <w:color w:val="1F4E79"/>
          <w:sz w:val="22"/>
          <w:szCs w:val="22"/>
          <w:lang w:val="en-GB"/>
        </w:rPr>
        <w:t>External expertise and services costs;</w:t>
      </w:r>
    </w:p>
    <w:p w14:paraId="72D9B343" w14:textId="77777777" w:rsidR="00A66A9A" w:rsidRPr="004A5019" w:rsidRDefault="00A66A9A" w:rsidP="0043285E">
      <w:pPr>
        <w:numPr>
          <w:ilvl w:val="0"/>
          <w:numId w:val="8"/>
        </w:numPr>
        <w:autoSpaceDE w:val="0"/>
        <w:autoSpaceDN w:val="0"/>
        <w:adjustRightInd w:val="0"/>
        <w:spacing w:before="120" w:after="120"/>
        <w:jc w:val="both"/>
        <w:rPr>
          <w:rFonts w:ascii="Trebuchet MS" w:hAnsi="Trebuchet MS" w:cs="Trebuchet MS"/>
          <w:color w:val="1F4E79"/>
          <w:sz w:val="22"/>
          <w:szCs w:val="22"/>
          <w:lang w:val="en-GB"/>
        </w:rPr>
      </w:pPr>
      <w:r w:rsidRPr="004A5019">
        <w:rPr>
          <w:rFonts w:ascii="Trebuchet MS" w:hAnsi="Trebuchet MS" w:cs="Trebuchet MS"/>
          <w:color w:val="1F4E79"/>
          <w:sz w:val="22"/>
          <w:szCs w:val="22"/>
          <w:lang w:val="en-GB"/>
        </w:rPr>
        <w:t>Equipment costs;</w:t>
      </w:r>
    </w:p>
    <w:p w14:paraId="24BF0FAC" w14:textId="77777777" w:rsidR="00A66A9A" w:rsidRPr="004A5019" w:rsidRDefault="00A66A9A" w:rsidP="0043285E">
      <w:pPr>
        <w:numPr>
          <w:ilvl w:val="0"/>
          <w:numId w:val="8"/>
        </w:numPr>
        <w:autoSpaceDE w:val="0"/>
        <w:autoSpaceDN w:val="0"/>
        <w:adjustRightInd w:val="0"/>
        <w:spacing w:before="120" w:after="120"/>
        <w:jc w:val="both"/>
        <w:rPr>
          <w:rFonts w:ascii="Trebuchet MS" w:hAnsi="Trebuchet MS" w:cs="Trebuchet MS"/>
          <w:color w:val="1F4E79"/>
          <w:sz w:val="22"/>
          <w:szCs w:val="22"/>
          <w:lang w:val="en-GB"/>
        </w:rPr>
      </w:pPr>
      <w:r w:rsidRPr="004A5019">
        <w:rPr>
          <w:rFonts w:ascii="Trebuchet MS" w:hAnsi="Trebuchet MS" w:cs="Trebuchet MS"/>
          <w:color w:val="1F4E79"/>
          <w:sz w:val="22"/>
          <w:szCs w:val="22"/>
          <w:lang w:val="en-GB"/>
        </w:rPr>
        <w:t>Costs for infrastructure and works.</w:t>
      </w:r>
    </w:p>
    <w:p w14:paraId="50C8F68D" w14:textId="77777777" w:rsidR="0085098E" w:rsidRPr="004A5019" w:rsidRDefault="00116754" w:rsidP="00116754">
      <w:pPr>
        <w:pStyle w:val="ListParagraph"/>
        <w:widowControl w:val="0"/>
        <w:tabs>
          <w:tab w:val="left" w:pos="-1440"/>
          <w:tab w:val="left" w:pos="-720"/>
          <w:tab w:val="left" w:pos="0"/>
          <w:tab w:val="left" w:pos="5580"/>
        </w:tabs>
        <w:spacing w:before="120" w:after="120"/>
        <w:ind w:left="0"/>
        <w:contextualSpacing/>
        <w:jc w:val="both"/>
        <w:rPr>
          <w:rFonts w:ascii="Trebuchet MS" w:hAnsi="Trebuchet MS"/>
          <w:b/>
          <w:color w:val="1F4E79"/>
          <w:sz w:val="22"/>
          <w:szCs w:val="22"/>
          <w:lang w:val="en-GB"/>
        </w:rPr>
      </w:pPr>
      <w:r w:rsidRPr="004A5019">
        <w:rPr>
          <w:rFonts w:ascii="Trebuchet MS" w:hAnsi="Trebuchet MS"/>
          <w:color w:val="1F4E79"/>
          <w:sz w:val="22"/>
          <w:szCs w:val="22"/>
          <w:lang w:val="en-GB"/>
        </w:rPr>
        <w:t xml:space="preserve">(2) </w:t>
      </w:r>
      <w:r w:rsidRPr="004A5019">
        <w:rPr>
          <w:rFonts w:ascii="Trebuchet MS" w:hAnsi="Trebuchet MS"/>
          <w:b/>
          <w:color w:val="1F4E79"/>
          <w:sz w:val="22"/>
          <w:szCs w:val="22"/>
          <w:lang w:val="en-GB"/>
        </w:rPr>
        <w:t>These costs shall be reimbursed on real cost principle (supported by documents).</w:t>
      </w:r>
    </w:p>
    <w:p w14:paraId="48A75A7C" w14:textId="77777777" w:rsidR="002E30F2" w:rsidRPr="004A5019" w:rsidRDefault="004B1804" w:rsidP="00040436">
      <w:pPr>
        <w:spacing w:before="240" w:after="120"/>
        <w:rPr>
          <w:rFonts w:ascii="Trebuchet MS" w:hAnsi="Trebuchet MS"/>
          <w:b/>
          <w:color w:val="1F4E79"/>
          <w:sz w:val="22"/>
          <w:szCs w:val="22"/>
          <w:lang w:val="en-GB"/>
        </w:rPr>
      </w:pPr>
      <w:r w:rsidRPr="004A5019">
        <w:rPr>
          <w:rFonts w:ascii="Trebuchet MS" w:hAnsi="Trebuchet MS"/>
          <w:b/>
          <w:color w:val="1F4E79"/>
          <w:sz w:val="22"/>
          <w:szCs w:val="22"/>
          <w:lang w:val="en-GB"/>
        </w:rPr>
        <w:t xml:space="preserve">Article </w:t>
      </w:r>
      <w:r w:rsidR="00F90475" w:rsidRPr="004A5019">
        <w:rPr>
          <w:rFonts w:ascii="Trebuchet MS" w:hAnsi="Trebuchet MS"/>
          <w:b/>
          <w:color w:val="1F4E79"/>
          <w:sz w:val="22"/>
          <w:szCs w:val="22"/>
          <w:lang w:val="en-GB"/>
        </w:rPr>
        <w:t>8</w:t>
      </w:r>
      <w:r w:rsidRPr="004A5019">
        <w:rPr>
          <w:rFonts w:ascii="Trebuchet MS" w:hAnsi="Trebuchet MS"/>
          <w:b/>
          <w:color w:val="1F4E79"/>
          <w:sz w:val="22"/>
          <w:szCs w:val="22"/>
          <w:lang w:val="en-GB"/>
        </w:rPr>
        <w:t>. Project preparation costs</w:t>
      </w:r>
    </w:p>
    <w:p w14:paraId="57472A07" w14:textId="77777777" w:rsidR="00B113AF" w:rsidRPr="004A5019" w:rsidRDefault="00B113AF" w:rsidP="0043285E">
      <w:pPr>
        <w:numPr>
          <w:ilvl w:val="0"/>
          <w:numId w:val="9"/>
        </w:numPr>
        <w:spacing w:before="120"/>
        <w:ind w:left="714" w:hanging="357"/>
        <w:rPr>
          <w:rFonts w:ascii="Trebuchet MS" w:hAnsi="Trebuchet MS"/>
          <w:color w:val="1F4E79"/>
          <w:sz w:val="22"/>
          <w:szCs w:val="22"/>
          <w:lang w:val="en-GB"/>
        </w:rPr>
      </w:pPr>
      <w:r w:rsidRPr="004A5019">
        <w:rPr>
          <w:rFonts w:ascii="Trebuchet MS" w:hAnsi="Trebuchet MS"/>
          <w:color w:val="1F4E79"/>
          <w:sz w:val="22"/>
          <w:szCs w:val="22"/>
          <w:lang w:val="en-GB"/>
        </w:rPr>
        <w:t xml:space="preserve">Preparation </w:t>
      </w:r>
      <w:r w:rsidRPr="004A5019">
        <w:rPr>
          <w:rFonts w:ascii="Trebuchet MS" w:hAnsi="Trebuchet MS" w:cs="Trebuchet MS"/>
          <w:color w:val="1F4E79"/>
          <w:sz w:val="22"/>
          <w:szCs w:val="22"/>
          <w:lang w:val="en-GB"/>
        </w:rPr>
        <w:t>costs are eligible as of 1 January 2021.</w:t>
      </w:r>
    </w:p>
    <w:p w14:paraId="6024265B" w14:textId="77777777" w:rsidR="0028659D" w:rsidRPr="004A5019" w:rsidRDefault="00B113AF" w:rsidP="0043285E">
      <w:pPr>
        <w:numPr>
          <w:ilvl w:val="0"/>
          <w:numId w:val="9"/>
        </w:numPr>
        <w:spacing w:before="120"/>
        <w:ind w:left="714" w:hanging="357"/>
        <w:jc w:val="both"/>
        <w:rPr>
          <w:rFonts w:ascii="Trebuchet MS" w:hAnsi="Trebuchet MS"/>
          <w:color w:val="1F4E79"/>
          <w:sz w:val="22"/>
          <w:szCs w:val="22"/>
          <w:lang w:val="en-GB"/>
        </w:rPr>
      </w:pPr>
      <w:r w:rsidRPr="004A5019">
        <w:rPr>
          <w:rFonts w:ascii="Trebuchet MS" w:hAnsi="Trebuchet MS" w:cs="Trebuchet MS"/>
          <w:color w:val="1F4E79"/>
          <w:sz w:val="22"/>
          <w:szCs w:val="22"/>
          <w:lang w:val="en-GB"/>
        </w:rPr>
        <w:t xml:space="preserve">Preparation costs </w:t>
      </w:r>
      <w:r w:rsidR="0028659D" w:rsidRPr="004A5019">
        <w:rPr>
          <w:rFonts w:ascii="Trebuchet MS" w:hAnsi="Trebuchet MS" w:cs="Trebuchet MS"/>
          <w:color w:val="1F4E79"/>
          <w:sz w:val="22"/>
          <w:szCs w:val="22"/>
          <w:lang w:val="en-GB"/>
        </w:rPr>
        <w:t>shall be reimbursed</w:t>
      </w:r>
      <w:r w:rsidR="005A2E91" w:rsidRPr="004A5019">
        <w:rPr>
          <w:rFonts w:ascii="Trebuchet MS" w:hAnsi="Trebuchet MS" w:cs="Trebuchet MS"/>
          <w:color w:val="1F4E79"/>
          <w:sz w:val="22"/>
          <w:szCs w:val="22"/>
          <w:lang w:val="en-GB"/>
        </w:rPr>
        <w:t xml:space="preserve"> based</w:t>
      </w:r>
      <w:r w:rsidR="0028659D" w:rsidRPr="004A5019">
        <w:rPr>
          <w:rFonts w:ascii="Trebuchet MS" w:hAnsi="Trebuchet MS" w:cs="Trebuchet MS"/>
          <w:color w:val="1F4E79"/>
          <w:sz w:val="22"/>
          <w:szCs w:val="22"/>
          <w:lang w:val="en-GB"/>
        </w:rPr>
        <w:t>:</w:t>
      </w:r>
    </w:p>
    <w:p w14:paraId="65E06CC3" w14:textId="77777777" w:rsidR="00B113AF" w:rsidRPr="004A5019" w:rsidRDefault="00B113AF" w:rsidP="0043285E">
      <w:pPr>
        <w:numPr>
          <w:ilvl w:val="0"/>
          <w:numId w:val="22"/>
        </w:numPr>
        <w:spacing w:before="120"/>
        <w:jc w:val="both"/>
        <w:rPr>
          <w:rFonts w:ascii="Trebuchet MS" w:hAnsi="Trebuchet MS"/>
          <w:color w:val="1F4E79"/>
          <w:sz w:val="22"/>
          <w:szCs w:val="22"/>
          <w:lang w:val="en-GB"/>
        </w:rPr>
      </w:pPr>
      <w:r w:rsidRPr="004A5019">
        <w:rPr>
          <w:rFonts w:ascii="Trebuchet MS" w:hAnsi="Trebuchet MS" w:cs="Trebuchet MS"/>
          <w:b/>
          <w:color w:val="1F4E79"/>
          <w:sz w:val="22"/>
          <w:szCs w:val="22"/>
          <w:lang w:val="en-GB"/>
        </w:rPr>
        <w:t>on basis of a lump sum</w:t>
      </w:r>
      <w:r w:rsidRPr="004A5019">
        <w:rPr>
          <w:rFonts w:ascii="Trebuchet MS" w:hAnsi="Trebuchet MS" w:cs="Trebuchet MS"/>
          <w:color w:val="1F4E79"/>
          <w:sz w:val="22"/>
          <w:szCs w:val="22"/>
          <w:lang w:val="en-GB"/>
        </w:rPr>
        <w:t xml:space="preserve"> </w:t>
      </w:r>
      <w:r w:rsidR="004B0E98" w:rsidRPr="004A5019">
        <w:rPr>
          <w:rFonts w:ascii="Trebuchet MS" w:hAnsi="Trebuchet MS" w:cs="Trebuchet MS"/>
          <w:color w:val="1F4E79"/>
          <w:sz w:val="22"/>
          <w:szCs w:val="22"/>
          <w:lang w:val="en-GB"/>
        </w:rPr>
        <w:t xml:space="preserve">for all projects financed via the Interreg VI-A Romania-Bulgaria Programme, </w:t>
      </w:r>
      <w:r w:rsidRPr="004A5019">
        <w:rPr>
          <w:rFonts w:ascii="Trebuchet MS" w:hAnsi="Trebuchet MS" w:cs="Trebuchet MS"/>
          <w:color w:val="1F4E79"/>
          <w:sz w:val="22"/>
          <w:szCs w:val="22"/>
          <w:lang w:val="en-GB"/>
        </w:rPr>
        <w:t>as decided at Programme level, once the subsidy contract has been signed and its evidence has been registered in the Programme electronic system</w:t>
      </w:r>
      <w:r w:rsidR="0028659D" w:rsidRPr="004A5019">
        <w:rPr>
          <w:rFonts w:ascii="Trebuchet MS" w:hAnsi="Trebuchet MS" w:cs="Trebuchet MS"/>
          <w:color w:val="1F4E79"/>
          <w:sz w:val="22"/>
          <w:szCs w:val="22"/>
          <w:lang w:val="en-GB"/>
        </w:rPr>
        <w:t>:</w:t>
      </w:r>
    </w:p>
    <w:p w14:paraId="6DB970C5" w14:textId="77777777" w:rsidR="0028659D" w:rsidRPr="004A5019" w:rsidRDefault="00616447" w:rsidP="0043285E">
      <w:pPr>
        <w:numPr>
          <w:ilvl w:val="0"/>
          <w:numId w:val="23"/>
        </w:numPr>
        <w:spacing w:before="120"/>
        <w:jc w:val="both"/>
        <w:rPr>
          <w:rFonts w:ascii="Trebuchet MS" w:hAnsi="Trebuchet MS"/>
          <w:color w:val="1F4E79"/>
          <w:sz w:val="22"/>
          <w:szCs w:val="22"/>
          <w:lang w:val="en-GB"/>
        </w:rPr>
      </w:pPr>
      <w:r w:rsidRPr="004A5019">
        <w:rPr>
          <w:rFonts w:ascii="Trebuchet MS" w:hAnsi="Trebuchet MS"/>
          <w:color w:val="1F4E79"/>
          <w:sz w:val="22"/>
          <w:szCs w:val="22"/>
          <w:lang w:val="en-GB"/>
        </w:rPr>
        <w:t xml:space="preserve">lump sum for preparation costs covers </w:t>
      </w:r>
      <w:r w:rsidRPr="004A5019">
        <w:rPr>
          <w:rFonts w:ascii="Trebuchet MS" w:hAnsi="Trebuchet MS" w:cs="Calibri"/>
          <w:color w:val="1F4E79"/>
          <w:sz w:val="22"/>
          <w:szCs w:val="22"/>
          <w:lang w:val="en-GB"/>
        </w:rPr>
        <w:t>the expenditures generated by the development of the application form and the documents mandatory for all applications;</w:t>
      </w:r>
    </w:p>
    <w:p w14:paraId="7E282009" w14:textId="77777777" w:rsidR="00616447" w:rsidRPr="004A5019" w:rsidRDefault="00420C8A" w:rsidP="0043285E">
      <w:pPr>
        <w:numPr>
          <w:ilvl w:val="0"/>
          <w:numId w:val="23"/>
        </w:numPr>
        <w:spacing w:before="120"/>
        <w:jc w:val="both"/>
        <w:rPr>
          <w:rFonts w:ascii="Trebuchet MS" w:hAnsi="Trebuchet MS"/>
          <w:color w:val="1F4E79"/>
          <w:sz w:val="22"/>
          <w:szCs w:val="22"/>
          <w:lang w:val="en-GB"/>
        </w:rPr>
      </w:pPr>
      <w:r w:rsidRPr="004A5019">
        <w:rPr>
          <w:rFonts w:ascii="Trebuchet MS" w:hAnsi="Trebuchet MS"/>
          <w:b/>
          <w:color w:val="1F4E79"/>
          <w:sz w:val="22"/>
          <w:szCs w:val="22"/>
          <w:lang w:val="en-GB"/>
        </w:rPr>
        <w:t>l</w:t>
      </w:r>
      <w:r w:rsidR="00616447" w:rsidRPr="004A5019">
        <w:rPr>
          <w:rFonts w:ascii="Trebuchet MS" w:hAnsi="Trebuchet MS"/>
          <w:b/>
          <w:color w:val="1F4E79"/>
          <w:sz w:val="22"/>
          <w:szCs w:val="22"/>
          <w:lang w:val="en-GB"/>
        </w:rPr>
        <w:t xml:space="preserve">ump </w:t>
      </w:r>
      <w:r w:rsidR="00616447" w:rsidRPr="004A5019">
        <w:rPr>
          <w:rFonts w:ascii="Trebuchet MS" w:hAnsi="Trebuchet MS"/>
          <w:b/>
          <w:snapToGrid w:val="0"/>
          <w:color w:val="1F4E79"/>
          <w:sz w:val="22"/>
          <w:szCs w:val="22"/>
          <w:lang w:val="en-GB"/>
        </w:rPr>
        <w:t xml:space="preserve">sum for project preparation of </w:t>
      </w:r>
      <w:r w:rsidR="00A62ECE">
        <w:rPr>
          <w:rFonts w:ascii="Trebuchet MS" w:hAnsi="Trebuchet MS"/>
          <w:b/>
          <w:snapToGrid w:val="0"/>
          <w:color w:val="1F4E79"/>
          <w:sz w:val="22"/>
          <w:szCs w:val="22"/>
          <w:lang w:val="en-GB"/>
        </w:rPr>
        <w:t>14,000</w:t>
      </w:r>
      <w:r w:rsidR="00616447" w:rsidRPr="004A5019">
        <w:rPr>
          <w:rFonts w:ascii="Trebuchet MS" w:hAnsi="Trebuchet MS"/>
          <w:b/>
          <w:snapToGrid w:val="0"/>
          <w:color w:val="1F4E79"/>
          <w:sz w:val="22"/>
          <w:szCs w:val="22"/>
          <w:lang w:val="en-GB"/>
        </w:rPr>
        <w:t xml:space="preserve"> Euro</w:t>
      </w:r>
      <w:r w:rsidR="00C0390B">
        <w:rPr>
          <w:rFonts w:ascii="Trebuchet MS" w:hAnsi="Trebuchet MS"/>
          <w:b/>
          <w:snapToGrid w:val="0"/>
          <w:color w:val="1F4E79"/>
          <w:sz w:val="22"/>
          <w:szCs w:val="22"/>
          <w:lang w:val="en-GB"/>
        </w:rPr>
        <w:t xml:space="preserve"> (total value)</w:t>
      </w:r>
      <w:r w:rsidR="00616447" w:rsidRPr="004A5019">
        <w:rPr>
          <w:rFonts w:ascii="Trebuchet MS" w:hAnsi="Trebuchet MS"/>
          <w:snapToGrid w:val="0"/>
          <w:color w:val="1F4E79"/>
          <w:sz w:val="22"/>
          <w:szCs w:val="22"/>
          <w:lang w:val="en-GB"/>
        </w:rPr>
        <w:t xml:space="preserve"> to be paid out by the Programme after the financing contract (subsidy) is signed</w:t>
      </w:r>
      <w:r w:rsidR="009427C0">
        <w:rPr>
          <w:rFonts w:ascii="Trebuchet MS" w:hAnsi="Trebuchet MS"/>
          <w:snapToGrid w:val="0"/>
          <w:color w:val="1F4E79"/>
          <w:sz w:val="22"/>
          <w:szCs w:val="22"/>
          <w:lang w:val="en-GB"/>
        </w:rPr>
        <w:t xml:space="preserve"> (</w:t>
      </w:r>
      <w:r w:rsidR="009427C0" w:rsidRPr="009427C0">
        <w:rPr>
          <w:rFonts w:ascii="Trebuchet MS" w:hAnsi="Trebuchet MS"/>
          <w:snapToGrid w:val="0"/>
          <w:color w:val="1F4E79"/>
          <w:sz w:val="22"/>
          <w:szCs w:val="22"/>
          <w:lang w:val="en-GB"/>
        </w:rPr>
        <w:t>condition triggering the payment of the lump sum for project preparation)</w:t>
      </w:r>
      <w:r w:rsidR="005A2E91" w:rsidRPr="004A5019">
        <w:rPr>
          <w:rFonts w:ascii="Trebuchet MS" w:hAnsi="Trebuchet MS"/>
          <w:snapToGrid w:val="0"/>
          <w:color w:val="1F4E79"/>
          <w:sz w:val="22"/>
          <w:szCs w:val="22"/>
          <w:lang w:val="en-GB"/>
        </w:rPr>
        <w:t>;</w:t>
      </w:r>
    </w:p>
    <w:p w14:paraId="6461FDD1" w14:textId="77777777" w:rsidR="0028659D" w:rsidRPr="004A5019" w:rsidRDefault="005A2E91" w:rsidP="0043285E">
      <w:pPr>
        <w:numPr>
          <w:ilvl w:val="0"/>
          <w:numId w:val="22"/>
        </w:numPr>
        <w:spacing w:before="120"/>
        <w:jc w:val="both"/>
        <w:rPr>
          <w:rFonts w:ascii="Trebuchet MS" w:hAnsi="Trebuchet MS"/>
          <w:b/>
          <w:color w:val="1F4E79"/>
          <w:sz w:val="22"/>
          <w:szCs w:val="22"/>
          <w:lang w:val="en-GB"/>
        </w:rPr>
      </w:pPr>
      <w:r w:rsidRPr="004A5019">
        <w:rPr>
          <w:rFonts w:ascii="Trebuchet MS" w:hAnsi="Trebuchet MS"/>
          <w:b/>
          <w:color w:val="1F4E79"/>
          <w:sz w:val="22"/>
          <w:szCs w:val="22"/>
          <w:lang w:val="en-GB"/>
        </w:rPr>
        <w:t>on real cost principle</w:t>
      </w:r>
      <w:r w:rsidRPr="004A5019">
        <w:rPr>
          <w:rFonts w:ascii="Trebuchet MS" w:hAnsi="Trebuchet MS"/>
          <w:color w:val="1F4E79"/>
          <w:sz w:val="22"/>
          <w:szCs w:val="22"/>
          <w:lang w:val="en-GB"/>
        </w:rPr>
        <w:t xml:space="preserve"> (supported by documents)</w:t>
      </w:r>
      <w:r w:rsidR="004648D0" w:rsidRPr="004A5019">
        <w:rPr>
          <w:rFonts w:ascii="Trebuchet MS" w:hAnsi="Trebuchet MS"/>
          <w:color w:val="1F4E79"/>
          <w:sz w:val="22"/>
          <w:szCs w:val="22"/>
          <w:lang w:val="en-GB"/>
        </w:rPr>
        <w:t>:</w:t>
      </w:r>
    </w:p>
    <w:p w14:paraId="1E532135" w14:textId="0C769C84" w:rsidR="004648D0" w:rsidRPr="004A5019" w:rsidRDefault="004648D0" w:rsidP="0043285E">
      <w:pPr>
        <w:numPr>
          <w:ilvl w:val="0"/>
          <w:numId w:val="24"/>
        </w:numPr>
        <w:spacing w:before="120"/>
        <w:jc w:val="both"/>
        <w:rPr>
          <w:rFonts w:ascii="Trebuchet MS" w:hAnsi="Trebuchet MS"/>
          <w:b/>
          <w:color w:val="1F4E79"/>
          <w:sz w:val="22"/>
          <w:szCs w:val="22"/>
          <w:lang w:val="en-GB"/>
        </w:rPr>
      </w:pPr>
      <w:r w:rsidRPr="004A5019">
        <w:rPr>
          <w:rFonts w:ascii="Trebuchet MS" w:hAnsi="Trebuchet MS" w:cs="Calibri"/>
          <w:color w:val="1F4E79"/>
          <w:sz w:val="22"/>
          <w:szCs w:val="22"/>
          <w:lang w:val="en-GB"/>
        </w:rPr>
        <w:t xml:space="preserve">for the expenditures incurred before the launching date of </w:t>
      </w:r>
      <w:r w:rsidR="00040141" w:rsidRPr="004A5019">
        <w:rPr>
          <w:rFonts w:ascii="Trebuchet MS" w:hAnsi="Trebuchet MS" w:cs="Calibri"/>
          <w:color w:val="1F4E79"/>
          <w:sz w:val="22"/>
          <w:szCs w:val="22"/>
          <w:lang w:val="en-GB"/>
        </w:rPr>
        <w:t xml:space="preserve">a </w:t>
      </w:r>
      <w:r w:rsidRPr="004A5019">
        <w:rPr>
          <w:rFonts w:ascii="Trebuchet MS" w:hAnsi="Trebuchet MS" w:cs="Calibri"/>
          <w:color w:val="1F4E79"/>
          <w:sz w:val="22"/>
          <w:szCs w:val="22"/>
          <w:lang w:val="en-GB"/>
        </w:rPr>
        <w:t xml:space="preserve">specific </w:t>
      </w:r>
      <w:r w:rsidR="006C53EB" w:rsidRPr="006C53EB">
        <w:rPr>
          <w:rFonts w:ascii="Trebuchet MS" w:hAnsi="Trebuchet MS" w:cs="Calibri"/>
          <w:color w:val="1F4E79"/>
          <w:sz w:val="22"/>
          <w:szCs w:val="22"/>
          <w:lang w:val="en-GB"/>
        </w:rPr>
        <w:t>Invitation for submission of the full application</w:t>
      </w:r>
      <w:r w:rsidR="001C7EC9">
        <w:rPr>
          <w:rFonts w:ascii="Trebuchet MS" w:hAnsi="Trebuchet MS" w:cs="Calibri"/>
          <w:color w:val="1F4E79"/>
          <w:sz w:val="22"/>
          <w:szCs w:val="22"/>
          <w:lang w:val="en-GB"/>
        </w:rPr>
        <w:t xml:space="preserve"> or relevant call</w:t>
      </w:r>
      <w:r w:rsidRPr="004A5019">
        <w:rPr>
          <w:rFonts w:ascii="Trebuchet MS" w:hAnsi="Trebuchet MS" w:cs="Calibri"/>
          <w:color w:val="1F4E79"/>
          <w:sz w:val="22"/>
          <w:szCs w:val="22"/>
          <w:lang w:val="en-GB"/>
        </w:rPr>
        <w:t xml:space="preserve"> are eligible provided they are observing the rules of the Programme and are made in the interest of the project</w:t>
      </w:r>
      <w:r w:rsidR="001D68F1" w:rsidRPr="004A5019">
        <w:rPr>
          <w:rFonts w:ascii="Trebuchet MS" w:hAnsi="Trebuchet MS" w:cs="Calibri"/>
          <w:color w:val="1F4E79"/>
          <w:sz w:val="22"/>
          <w:szCs w:val="22"/>
          <w:lang w:val="en-GB"/>
        </w:rPr>
        <w:t>;</w:t>
      </w:r>
    </w:p>
    <w:p w14:paraId="762D9F67" w14:textId="77777777" w:rsidR="004648D0" w:rsidRPr="004A5019" w:rsidRDefault="001D68F1" w:rsidP="0043285E">
      <w:pPr>
        <w:numPr>
          <w:ilvl w:val="0"/>
          <w:numId w:val="24"/>
        </w:numPr>
        <w:spacing w:before="120"/>
        <w:jc w:val="both"/>
        <w:rPr>
          <w:rFonts w:ascii="Trebuchet MS" w:hAnsi="Trebuchet MS" w:cs="Calibri"/>
          <w:color w:val="1F4E79"/>
          <w:sz w:val="22"/>
          <w:szCs w:val="22"/>
          <w:lang w:val="en-GB"/>
        </w:rPr>
      </w:pPr>
      <w:r w:rsidRPr="004A5019">
        <w:rPr>
          <w:rFonts w:ascii="Trebuchet MS" w:hAnsi="Trebuchet MS" w:cs="Calibri"/>
          <w:color w:val="1F4E79"/>
          <w:sz w:val="22"/>
          <w:szCs w:val="22"/>
          <w:lang w:val="en-GB"/>
        </w:rPr>
        <w:t xml:space="preserve">these costs </w:t>
      </w:r>
      <w:r w:rsidR="004648D0" w:rsidRPr="004A5019">
        <w:rPr>
          <w:rFonts w:ascii="Trebuchet MS" w:hAnsi="Trebuchet MS" w:cs="Calibri"/>
          <w:color w:val="1F4E79"/>
          <w:sz w:val="22"/>
          <w:szCs w:val="22"/>
          <w:lang w:val="en-GB"/>
        </w:rPr>
        <w:t xml:space="preserve">should cover preparatory technical documents, studies, cost benefit analysis, </w:t>
      </w:r>
      <w:r w:rsidR="00E91FEA" w:rsidRPr="004A5019">
        <w:rPr>
          <w:rFonts w:ascii="Trebuchet MS" w:hAnsi="Trebuchet MS" w:cs="Calibri"/>
          <w:color w:val="1F4E79"/>
          <w:sz w:val="22"/>
          <w:szCs w:val="22"/>
          <w:lang w:val="en-GB"/>
        </w:rPr>
        <w:t xml:space="preserve">studies and costs for documentation necessary to obtain the necessary endorsements and authorizations, </w:t>
      </w:r>
      <w:r w:rsidR="004648D0" w:rsidRPr="004A5019">
        <w:rPr>
          <w:rFonts w:ascii="Trebuchet MS" w:hAnsi="Trebuchet MS" w:cs="Calibri"/>
          <w:color w:val="1F4E79"/>
          <w:sz w:val="22"/>
          <w:szCs w:val="22"/>
          <w:lang w:val="en-GB"/>
        </w:rPr>
        <w:t>technical design etc</w:t>
      </w:r>
      <w:r w:rsidR="00E91FEA" w:rsidRPr="004A5019">
        <w:rPr>
          <w:rFonts w:ascii="Trebuchet MS" w:hAnsi="Trebuchet MS" w:cs="Calibri"/>
          <w:color w:val="1F4E79"/>
          <w:sz w:val="22"/>
          <w:szCs w:val="22"/>
          <w:lang w:val="en-GB"/>
        </w:rPr>
        <w:t xml:space="preserve">. </w:t>
      </w:r>
      <w:r w:rsidRPr="004A5019">
        <w:rPr>
          <w:rFonts w:ascii="Trebuchet MS" w:hAnsi="Trebuchet MS" w:cs="Calibri"/>
          <w:color w:val="1F4E79"/>
          <w:sz w:val="22"/>
          <w:szCs w:val="22"/>
          <w:lang w:val="en-GB"/>
        </w:rPr>
        <w:t>documents necessary to be submitted depending on the specificity of the application;</w:t>
      </w:r>
    </w:p>
    <w:p w14:paraId="4F49389D" w14:textId="77777777" w:rsidR="004648D0" w:rsidRPr="004A5019" w:rsidRDefault="004648D0" w:rsidP="0043285E">
      <w:pPr>
        <w:numPr>
          <w:ilvl w:val="0"/>
          <w:numId w:val="24"/>
        </w:numPr>
        <w:spacing w:before="120"/>
        <w:jc w:val="both"/>
        <w:rPr>
          <w:rFonts w:ascii="Trebuchet MS" w:hAnsi="Trebuchet MS" w:cs="Calibri"/>
          <w:color w:val="1F4E79"/>
          <w:sz w:val="22"/>
          <w:szCs w:val="22"/>
          <w:lang w:val="en-GB"/>
        </w:rPr>
      </w:pPr>
      <w:r w:rsidRPr="004A5019">
        <w:rPr>
          <w:rFonts w:ascii="Trebuchet MS" w:hAnsi="Trebuchet MS" w:cs="Calibri"/>
          <w:color w:val="1F4E79"/>
          <w:sz w:val="22"/>
          <w:szCs w:val="22"/>
          <w:lang w:val="en-GB"/>
        </w:rPr>
        <w:t>the real costs must be requested in the 1st reporting period</w:t>
      </w:r>
      <w:r w:rsidR="001D68F1" w:rsidRPr="004A5019">
        <w:rPr>
          <w:rFonts w:ascii="Trebuchet MS" w:hAnsi="Trebuchet MS" w:cs="Calibri"/>
          <w:color w:val="1F4E79"/>
          <w:sz w:val="22"/>
          <w:szCs w:val="22"/>
          <w:lang w:val="en-GB"/>
        </w:rPr>
        <w:t>, if not the costs shall not be eligible for reimbursement under the Programme;</w:t>
      </w:r>
    </w:p>
    <w:p w14:paraId="470DC52A" w14:textId="77777777" w:rsidR="004648D0" w:rsidRPr="004A5019" w:rsidRDefault="004648D0" w:rsidP="0043285E">
      <w:pPr>
        <w:numPr>
          <w:ilvl w:val="0"/>
          <w:numId w:val="24"/>
        </w:numPr>
        <w:spacing w:before="120"/>
        <w:jc w:val="both"/>
        <w:rPr>
          <w:rFonts w:ascii="Trebuchet MS" w:hAnsi="Trebuchet MS"/>
          <w:b/>
          <w:color w:val="1F4E79"/>
          <w:sz w:val="22"/>
          <w:szCs w:val="22"/>
          <w:lang w:val="en-GB"/>
        </w:rPr>
      </w:pPr>
      <w:r w:rsidRPr="004A5019">
        <w:rPr>
          <w:rFonts w:ascii="Trebuchet MS" w:hAnsi="Trebuchet MS"/>
          <w:b/>
          <w:color w:val="1F4E79"/>
          <w:sz w:val="22"/>
          <w:szCs w:val="22"/>
          <w:lang w:val="en-GB"/>
        </w:rPr>
        <w:t>the project cannot request for reimbursement based on real costs the types of expenditures covered by the Preparation lump sum</w:t>
      </w:r>
      <w:r w:rsidR="00040141" w:rsidRPr="004A5019">
        <w:rPr>
          <w:rFonts w:ascii="Trebuchet MS" w:hAnsi="Trebuchet MS"/>
          <w:b/>
          <w:color w:val="1F4E79"/>
          <w:sz w:val="22"/>
          <w:szCs w:val="22"/>
          <w:lang w:val="en-GB"/>
        </w:rPr>
        <w:t>.</w:t>
      </w:r>
    </w:p>
    <w:p w14:paraId="7651A5D6" w14:textId="77777777" w:rsidR="00B113AF" w:rsidRPr="004A5019" w:rsidRDefault="005C64DA" w:rsidP="00C43E41">
      <w:pPr>
        <w:spacing w:before="240" w:after="120"/>
        <w:rPr>
          <w:rFonts w:ascii="Trebuchet MS" w:hAnsi="Trebuchet MS"/>
          <w:b/>
          <w:color w:val="1F4E79"/>
          <w:sz w:val="22"/>
          <w:szCs w:val="22"/>
        </w:rPr>
      </w:pPr>
      <w:r w:rsidRPr="004A5019">
        <w:rPr>
          <w:rFonts w:ascii="Trebuchet MS" w:hAnsi="Trebuchet MS"/>
          <w:b/>
          <w:color w:val="1F4E79"/>
          <w:sz w:val="22"/>
          <w:szCs w:val="22"/>
          <w:lang w:val="en-GB"/>
        </w:rPr>
        <w:t>Article 9.</w:t>
      </w:r>
      <w:r w:rsidRPr="004A5019">
        <w:rPr>
          <w:rFonts w:ascii="Trebuchet MS" w:hAnsi="Trebuchet MS"/>
          <w:b/>
          <w:color w:val="1F4E79"/>
          <w:sz w:val="22"/>
          <w:szCs w:val="22"/>
        </w:rPr>
        <w:t xml:space="preserve"> Staff costs</w:t>
      </w:r>
    </w:p>
    <w:p w14:paraId="3553EAD2" w14:textId="77777777" w:rsidR="004F38AB" w:rsidRPr="004A5019" w:rsidRDefault="004F38AB" w:rsidP="0043285E">
      <w:pPr>
        <w:pStyle w:val="ListParagraph"/>
        <w:widowControl w:val="0"/>
        <w:numPr>
          <w:ilvl w:val="0"/>
          <w:numId w:val="10"/>
        </w:numPr>
        <w:tabs>
          <w:tab w:val="left" w:pos="-1440"/>
          <w:tab w:val="left" w:pos="-720"/>
          <w:tab w:val="left" w:pos="0"/>
          <w:tab w:val="left" w:pos="709"/>
        </w:tabs>
        <w:spacing w:before="120" w:after="120"/>
        <w:ind w:left="714" w:hanging="357"/>
        <w:contextualSpacing/>
        <w:jc w:val="both"/>
        <w:rPr>
          <w:rFonts w:ascii="Trebuchet MS" w:hAnsi="Trebuchet MS"/>
          <w:color w:val="1F4E79"/>
          <w:sz w:val="22"/>
          <w:szCs w:val="22"/>
        </w:rPr>
      </w:pPr>
      <w:r w:rsidRPr="004A5019">
        <w:rPr>
          <w:rFonts w:ascii="Trebuchet MS" w:hAnsi="Trebuchet MS"/>
          <w:color w:val="1F4E79"/>
          <w:sz w:val="22"/>
          <w:szCs w:val="22"/>
          <w:lang w:val="en-GB"/>
        </w:rPr>
        <w:t>Staff costs expenditure consists of the gross employment costs of staff employed by the partner for implementing the project. Staff can either be already employed by the partner or contracted specifically for the project.</w:t>
      </w:r>
    </w:p>
    <w:p w14:paraId="6F64394D" w14:textId="77777777" w:rsidR="004F38AB" w:rsidRPr="004A5019" w:rsidRDefault="004F38AB" w:rsidP="0043285E">
      <w:pPr>
        <w:numPr>
          <w:ilvl w:val="0"/>
          <w:numId w:val="10"/>
        </w:numPr>
        <w:tabs>
          <w:tab w:val="left" w:pos="709"/>
        </w:tabs>
        <w:spacing w:before="120"/>
        <w:ind w:left="714" w:hanging="357"/>
        <w:jc w:val="both"/>
        <w:rPr>
          <w:rFonts w:ascii="Trebuchet MS" w:hAnsi="Trebuchet MS"/>
          <w:snapToGrid w:val="0"/>
          <w:color w:val="1F4E79"/>
          <w:sz w:val="22"/>
          <w:szCs w:val="22"/>
          <w:lang w:val="en-GB"/>
        </w:rPr>
      </w:pPr>
      <w:r w:rsidRPr="004A5019">
        <w:rPr>
          <w:rFonts w:ascii="Trebuchet MS" w:hAnsi="Trebuchet MS"/>
          <w:snapToGrid w:val="0"/>
          <w:color w:val="1F4E79"/>
          <w:sz w:val="22"/>
          <w:szCs w:val="22"/>
          <w:lang w:val="en-GB"/>
        </w:rPr>
        <w:t xml:space="preserve">The project partners shall be able to demonstrate the existence of employment/works contracts or other equivalent legal agreement that allow the identification of the employment relationship with the partner’s organisation. </w:t>
      </w:r>
    </w:p>
    <w:p w14:paraId="72F735F5" w14:textId="77777777" w:rsidR="004F38AB" w:rsidRPr="004A5019" w:rsidRDefault="004F38AB" w:rsidP="0043285E">
      <w:pPr>
        <w:numPr>
          <w:ilvl w:val="0"/>
          <w:numId w:val="10"/>
        </w:numPr>
        <w:tabs>
          <w:tab w:val="left" w:pos="709"/>
        </w:tabs>
        <w:spacing w:before="120"/>
        <w:ind w:left="714" w:hanging="357"/>
        <w:jc w:val="both"/>
        <w:rPr>
          <w:rFonts w:ascii="Trebuchet MS" w:hAnsi="Trebuchet MS"/>
          <w:snapToGrid w:val="0"/>
          <w:color w:val="1F4E79"/>
          <w:sz w:val="22"/>
          <w:szCs w:val="22"/>
          <w:lang w:val="en-GB"/>
        </w:rPr>
      </w:pPr>
      <w:r w:rsidRPr="004A5019">
        <w:rPr>
          <w:rFonts w:ascii="Trebuchet MS" w:hAnsi="Trebuchet MS"/>
          <w:snapToGrid w:val="0"/>
          <w:color w:val="1F4E79"/>
          <w:sz w:val="22"/>
          <w:szCs w:val="22"/>
          <w:lang w:val="en-GB"/>
        </w:rPr>
        <w:t xml:space="preserve">Payments to natural persons working for the Interreg partner under a contract other than an employment or work contract will be assimilated to salary payments and such a contract </w:t>
      </w:r>
      <w:r w:rsidRPr="004A5019">
        <w:rPr>
          <w:rFonts w:ascii="Trebuchet MS" w:hAnsi="Trebuchet MS"/>
          <w:snapToGrid w:val="0"/>
          <w:color w:val="1F4E79"/>
          <w:sz w:val="22"/>
          <w:szCs w:val="22"/>
          <w:lang w:val="en-GB"/>
        </w:rPr>
        <w:lastRenderedPageBreak/>
        <w:t>shall be considered to be an employment document (art. 39 paragraph 2 of Regulation 1059/2021).</w:t>
      </w:r>
    </w:p>
    <w:p w14:paraId="10DDE2EE" w14:textId="77777777" w:rsidR="005C64DA" w:rsidRPr="004A5019" w:rsidRDefault="005C64DA" w:rsidP="0043285E">
      <w:pPr>
        <w:numPr>
          <w:ilvl w:val="0"/>
          <w:numId w:val="10"/>
        </w:numPr>
        <w:tabs>
          <w:tab w:val="left" w:pos="709"/>
        </w:tabs>
        <w:spacing w:before="120"/>
        <w:ind w:left="714" w:hanging="357"/>
        <w:jc w:val="both"/>
        <w:rPr>
          <w:rFonts w:ascii="Trebuchet MS" w:hAnsi="Trebuchet MS"/>
          <w:b/>
          <w:snapToGrid w:val="0"/>
          <w:color w:val="1F4E79"/>
          <w:sz w:val="22"/>
          <w:szCs w:val="22"/>
          <w:lang w:val="en-GB"/>
        </w:rPr>
      </w:pPr>
      <w:r w:rsidRPr="004A5019">
        <w:rPr>
          <w:rFonts w:ascii="Trebuchet MS" w:hAnsi="Trebuchet MS"/>
          <w:b/>
          <w:color w:val="1F4E79"/>
          <w:sz w:val="22"/>
          <w:szCs w:val="22"/>
        </w:rPr>
        <w:t>Staff costs shall be reimbursed as a flat rate of 20%</w:t>
      </w:r>
      <w:r w:rsidR="00B62E38" w:rsidRPr="004A5019">
        <w:rPr>
          <w:rFonts w:ascii="Trebuchet MS" w:hAnsi="Trebuchet MS"/>
          <w:b/>
          <w:color w:val="1F4E79"/>
          <w:sz w:val="22"/>
          <w:szCs w:val="22"/>
        </w:rPr>
        <w:t xml:space="preserve"> or up to 20% (depending on the conditions established in the corresponding </w:t>
      </w:r>
      <w:r w:rsidR="00C911BE" w:rsidRPr="006C53EB">
        <w:rPr>
          <w:rFonts w:ascii="Trebuchet MS" w:hAnsi="Trebuchet MS"/>
          <w:b/>
          <w:color w:val="1F4E79"/>
          <w:sz w:val="22"/>
          <w:szCs w:val="22"/>
        </w:rPr>
        <w:t>Invitation for submission of the full application</w:t>
      </w:r>
      <w:r w:rsidR="001C7EC9">
        <w:rPr>
          <w:rFonts w:ascii="Trebuchet MS" w:hAnsi="Trebuchet MS"/>
          <w:b/>
          <w:color w:val="1F4E79"/>
          <w:sz w:val="22"/>
          <w:szCs w:val="22"/>
        </w:rPr>
        <w:t xml:space="preserve"> or the related </w:t>
      </w:r>
      <w:r w:rsidR="00B62E38" w:rsidRPr="004A5019">
        <w:rPr>
          <w:rFonts w:ascii="Trebuchet MS" w:hAnsi="Trebuchet MS"/>
          <w:b/>
          <w:color w:val="1F4E79"/>
          <w:sz w:val="22"/>
          <w:szCs w:val="22"/>
        </w:rPr>
        <w:t>applicant’s guide)</w:t>
      </w:r>
      <w:r w:rsidRPr="004A5019">
        <w:rPr>
          <w:rFonts w:ascii="Trebuchet MS" w:hAnsi="Trebuchet MS"/>
          <w:b/>
          <w:color w:val="1F4E79"/>
          <w:sz w:val="22"/>
          <w:szCs w:val="22"/>
        </w:rPr>
        <w:t xml:space="preserve"> of direct</w:t>
      </w:r>
      <w:r w:rsidR="009D360B" w:rsidRPr="004A5019">
        <w:rPr>
          <w:rFonts w:ascii="Trebuchet MS" w:hAnsi="Trebuchet MS"/>
          <w:b/>
          <w:color w:val="1F4E79"/>
          <w:sz w:val="22"/>
          <w:szCs w:val="22"/>
        </w:rPr>
        <w:t xml:space="preserve"> eligible</w:t>
      </w:r>
      <w:r w:rsidRPr="004A5019">
        <w:rPr>
          <w:rFonts w:ascii="Trebuchet MS" w:hAnsi="Trebuchet MS"/>
          <w:b/>
          <w:color w:val="1F4E79"/>
          <w:sz w:val="22"/>
          <w:szCs w:val="22"/>
        </w:rPr>
        <w:t xml:space="preserve"> costs </w:t>
      </w:r>
      <w:r w:rsidR="009D360B" w:rsidRPr="004A5019">
        <w:rPr>
          <w:rFonts w:ascii="Trebuchet MS" w:hAnsi="Trebuchet MS"/>
          <w:b/>
          <w:color w:val="1F4E79"/>
          <w:sz w:val="22"/>
          <w:szCs w:val="22"/>
        </w:rPr>
        <w:t xml:space="preserve">of the operation </w:t>
      </w:r>
      <w:r w:rsidRPr="004A5019">
        <w:rPr>
          <w:rFonts w:ascii="Trebuchet MS" w:hAnsi="Trebuchet MS"/>
          <w:b/>
          <w:snapToGrid w:val="0"/>
          <w:color w:val="1F4E79"/>
          <w:sz w:val="22"/>
          <w:szCs w:val="22"/>
          <w:lang w:val="en-GB"/>
        </w:rPr>
        <w:t>(</w:t>
      </w:r>
      <w:r w:rsidR="0000247B" w:rsidRPr="004A5019">
        <w:rPr>
          <w:rFonts w:ascii="Trebuchet MS" w:hAnsi="Trebuchet MS"/>
          <w:b/>
          <w:snapToGrid w:val="0"/>
          <w:color w:val="1F4E79"/>
          <w:sz w:val="22"/>
          <w:szCs w:val="22"/>
          <w:lang w:val="en-GB"/>
        </w:rPr>
        <w:t xml:space="preserve">see </w:t>
      </w:r>
      <w:r w:rsidRPr="004A5019">
        <w:rPr>
          <w:rFonts w:ascii="Trebuchet MS" w:hAnsi="Trebuchet MS"/>
          <w:b/>
          <w:snapToGrid w:val="0"/>
          <w:color w:val="1F4E79"/>
          <w:sz w:val="22"/>
          <w:szCs w:val="22"/>
          <w:lang w:val="en-GB"/>
        </w:rPr>
        <w:t>art. 7(1))</w:t>
      </w:r>
      <w:r w:rsidRPr="004A5019">
        <w:rPr>
          <w:rFonts w:ascii="Trebuchet MS" w:hAnsi="Trebuchet MS"/>
          <w:b/>
          <w:color w:val="1F4E79"/>
          <w:sz w:val="22"/>
          <w:szCs w:val="22"/>
        </w:rPr>
        <w:t xml:space="preserve">. </w:t>
      </w:r>
      <w:r w:rsidRPr="004A5019">
        <w:rPr>
          <w:rFonts w:ascii="Trebuchet MS" w:hAnsi="Trebuchet MS"/>
          <w:b/>
          <w:snapToGrid w:val="0"/>
          <w:color w:val="1F4E79"/>
          <w:sz w:val="22"/>
          <w:szCs w:val="22"/>
          <w:lang w:val="en-GB"/>
        </w:rPr>
        <w:t>The beneficiary does not need to document that the expenditure has been incurred and paid out.</w:t>
      </w:r>
    </w:p>
    <w:p w14:paraId="2B577FBB" w14:textId="77777777" w:rsidR="005C64DA" w:rsidRPr="004A5019" w:rsidRDefault="005C64DA" w:rsidP="0043285E">
      <w:pPr>
        <w:pStyle w:val="ListParagraph"/>
        <w:widowControl w:val="0"/>
        <w:numPr>
          <w:ilvl w:val="0"/>
          <w:numId w:val="10"/>
        </w:numPr>
        <w:tabs>
          <w:tab w:val="left" w:pos="-1440"/>
          <w:tab w:val="left" w:pos="-720"/>
          <w:tab w:val="left" w:pos="0"/>
          <w:tab w:val="left" w:pos="709"/>
        </w:tabs>
        <w:spacing w:before="120" w:after="120"/>
        <w:ind w:left="714" w:hanging="357"/>
        <w:contextualSpacing/>
        <w:jc w:val="both"/>
        <w:rPr>
          <w:rFonts w:ascii="Trebuchet MS" w:hAnsi="Trebuchet MS"/>
          <w:color w:val="1F4E79"/>
          <w:sz w:val="22"/>
          <w:szCs w:val="22"/>
        </w:rPr>
      </w:pPr>
      <w:r w:rsidRPr="004A5019">
        <w:rPr>
          <w:rFonts w:ascii="Trebuchet MS" w:hAnsi="Trebuchet MS"/>
          <w:color w:val="1F4E79"/>
          <w:sz w:val="22"/>
          <w:szCs w:val="22"/>
        </w:rPr>
        <w:t>Direct costs that form the basis for calculation of staff costs must be incurred and paid by the beneficiary as real costs.</w:t>
      </w:r>
    </w:p>
    <w:p w14:paraId="56CBF669" w14:textId="77777777" w:rsidR="003D19E8" w:rsidRPr="004A5019" w:rsidRDefault="00BD5E77" w:rsidP="00C43E41">
      <w:pPr>
        <w:spacing w:before="240" w:after="120"/>
        <w:rPr>
          <w:rFonts w:ascii="Trebuchet MS" w:hAnsi="Trebuchet MS" w:cs="Trebuchet MS"/>
          <w:b/>
          <w:color w:val="1F4E79"/>
          <w:sz w:val="22"/>
          <w:szCs w:val="22"/>
          <w:lang w:val="en-GB"/>
        </w:rPr>
      </w:pPr>
      <w:r w:rsidRPr="004A5019">
        <w:rPr>
          <w:rFonts w:ascii="Trebuchet MS" w:hAnsi="Trebuchet MS"/>
          <w:b/>
          <w:color w:val="1F4E79"/>
          <w:sz w:val="22"/>
          <w:szCs w:val="22"/>
          <w:lang w:val="en-GB"/>
        </w:rPr>
        <w:t>Article 10</w:t>
      </w:r>
      <w:r w:rsidR="003D19E8" w:rsidRPr="004A5019">
        <w:rPr>
          <w:rFonts w:ascii="Trebuchet MS" w:hAnsi="Trebuchet MS"/>
          <w:b/>
          <w:color w:val="1F4E79"/>
          <w:sz w:val="22"/>
          <w:szCs w:val="22"/>
          <w:lang w:val="en-GB"/>
        </w:rPr>
        <w:t xml:space="preserve">. </w:t>
      </w:r>
      <w:r w:rsidR="003D19E8" w:rsidRPr="004A5019">
        <w:rPr>
          <w:rFonts w:ascii="Trebuchet MS" w:hAnsi="Trebuchet MS" w:cs="Trebuchet MS"/>
          <w:b/>
          <w:color w:val="1F4E79"/>
          <w:sz w:val="22"/>
          <w:szCs w:val="22"/>
          <w:lang w:val="en-GB"/>
        </w:rPr>
        <w:t>Office and administrative costs</w:t>
      </w:r>
    </w:p>
    <w:p w14:paraId="69B8ECF0" w14:textId="77777777" w:rsidR="00E70EFC" w:rsidRPr="004A5019" w:rsidRDefault="00E70EFC" w:rsidP="0043285E">
      <w:pPr>
        <w:numPr>
          <w:ilvl w:val="0"/>
          <w:numId w:val="13"/>
        </w:numPr>
        <w:spacing w:before="120"/>
        <w:ind w:left="714" w:hanging="357"/>
        <w:jc w:val="both"/>
        <w:rPr>
          <w:rFonts w:ascii="Trebuchet MS" w:hAnsi="Trebuchet MS" w:cs="Trebuchet MS"/>
          <w:b/>
          <w:color w:val="1F4E79"/>
          <w:sz w:val="22"/>
          <w:szCs w:val="22"/>
          <w:lang w:val="en-GB"/>
        </w:rPr>
      </w:pPr>
      <w:r w:rsidRPr="004A5019">
        <w:rPr>
          <w:rFonts w:ascii="Trebuchet MS" w:hAnsi="Trebuchet MS"/>
          <w:snapToGrid w:val="0"/>
          <w:color w:val="1F4E79"/>
          <w:sz w:val="22"/>
          <w:szCs w:val="22"/>
          <w:lang w:val="en-GB"/>
        </w:rPr>
        <w:t>Office and administrative costs covers operating and administrative expenses of the beneficiary that are necessary for the implementation of the project.</w:t>
      </w:r>
    </w:p>
    <w:p w14:paraId="7666A85F" w14:textId="77777777" w:rsidR="00F4553D" w:rsidRPr="004A5019" w:rsidRDefault="00E70EFC" w:rsidP="0043285E">
      <w:pPr>
        <w:numPr>
          <w:ilvl w:val="0"/>
          <w:numId w:val="13"/>
        </w:numPr>
        <w:spacing w:before="120"/>
        <w:ind w:left="714" w:hanging="357"/>
        <w:jc w:val="both"/>
        <w:rPr>
          <w:rFonts w:ascii="Trebuchet MS" w:hAnsi="Trebuchet MS" w:cs="Trebuchet MS"/>
          <w:b/>
          <w:color w:val="1F4E79"/>
          <w:sz w:val="22"/>
          <w:szCs w:val="22"/>
          <w:lang w:val="en-GB"/>
        </w:rPr>
      </w:pPr>
      <w:r w:rsidRPr="004A5019">
        <w:rPr>
          <w:rFonts w:ascii="Trebuchet MS" w:hAnsi="Trebuchet MS"/>
          <w:color w:val="1F4E79"/>
          <w:sz w:val="22"/>
          <w:szCs w:val="22"/>
          <w:lang w:val="en-GB"/>
        </w:rPr>
        <w:t>Office and administrative costs/Indirect costs are costs which are not or cannot be connected directly to the implementation of the operation in question</w:t>
      </w:r>
      <w:r w:rsidRPr="004A5019">
        <w:rPr>
          <w:rFonts w:ascii="Trebuchet MS" w:hAnsi="Trebuchet MS"/>
          <w:color w:val="1F4E79"/>
          <w:sz w:val="22"/>
          <w:szCs w:val="22"/>
          <w:vertAlign w:val="superscript"/>
          <w:lang w:val="en-GB"/>
        </w:rPr>
        <w:footnoteReference w:id="1"/>
      </w:r>
      <w:r w:rsidRPr="004A5019">
        <w:rPr>
          <w:rFonts w:ascii="Trebuchet MS" w:hAnsi="Trebuchet MS"/>
          <w:color w:val="1F4E79"/>
          <w:sz w:val="22"/>
          <w:szCs w:val="22"/>
          <w:lang w:val="en-GB"/>
        </w:rPr>
        <w:t xml:space="preserve">. </w:t>
      </w:r>
    </w:p>
    <w:p w14:paraId="5B564802" w14:textId="77777777" w:rsidR="00E70EFC" w:rsidRPr="004A5019" w:rsidRDefault="00F4553D" w:rsidP="0043285E">
      <w:pPr>
        <w:numPr>
          <w:ilvl w:val="0"/>
          <w:numId w:val="13"/>
        </w:numPr>
        <w:spacing w:before="120"/>
        <w:ind w:left="714" w:hanging="357"/>
        <w:jc w:val="both"/>
        <w:rPr>
          <w:rFonts w:ascii="Trebuchet MS" w:hAnsi="Trebuchet MS" w:cs="Trebuchet MS"/>
          <w:b/>
          <w:color w:val="1F4E79"/>
          <w:sz w:val="22"/>
          <w:szCs w:val="22"/>
          <w:lang w:val="en-GB"/>
        </w:rPr>
      </w:pPr>
      <w:r w:rsidRPr="004A5019">
        <w:rPr>
          <w:rFonts w:ascii="Trebuchet MS" w:hAnsi="Trebuchet MS"/>
          <w:color w:val="1F4E79"/>
          <w:sz w:val="22"/>
          <w:szCs w:val="22"/>
        </w:rPr>
        <w:t xml:space="preserve">Office and administrative expenditure </w:t>
      </w:r>
      <w:r w:rsidR="00E70EFC" w:rsidRPr="004A5019">
        <w:rPr>
          <w:rFonts w:ascii="Trebuchet MS" w:hAnsi="Trebuchet MS"/>
          <w:color w:val="1F4E79"/>
          <w:sz w:val="22"/>
          <w:szCs w:val="22"/>
          <w:lang w:val="en-GB"/>
        </w:rPr>
        <w:t>shall be limited to the following elements:</w:t>
      </w:r>
    </w:p>
    <w:p w14:paraId="18156C8A" w14:textId="77777777" w:rsidR="00E70EFC" w:rsidRPr="004A5019" w:rsidRDefault="00E70EFC" w:rsidP="0043285E">
      <w:pPr>
        <w:numPr>
          <w:ilvl w:val="0"/>
          <w:numId w:val="14"/>
        </w:numPr>
        <w:spacing w:before="120"/>
        <w:jc w:val="both"/>
        <w:rPr>
          <w:rFonts w:ascii="Trebuchet MS" w:hAnsi="Trebuchet MS"/>
          <w:color w:val="1F4E79"/>
          <w:sz w:val="22"/>
          <w:szCs w:val="22"/>
          <w:lang w:val="en-GB"/>
        </w:rPr>
      </w:pPr>
      <w:r w:rsidRPr="004A5019">
        <w:rPr>
          <w:rFonts w:ascii="Trebuchet MS" w:hAnsi="Trebuchet MS"/>
          <w:color w:val="1F4E79"/>
          <w:sz w:val="22"/>
          <w:szCs w:val="22"/>
          <w:lang w:val="en-GB"/>
        </w:rPr>
        <w:t xml:space="preserve">office rent; </w:t>
      </w:r>
    </w:p>
    <w:p w14:paraId="08F1AE9F" w14:textId="77777777" w:rsidR="00E70EFC" w:rsidRPr="004A5019" w:rsidRDefault="00E70EFC" w:rsidP="0043285E">
      <w:pPr>
        <w:numPr>
          <w:ilvl w:val="0"/>
          <w:numId w:val="14"/>
        </w:numPr>
        <w:spacing w:before="120"/>
        <w:jc w:val="both"/>
        <w:rPr>
          <w:rFonts w:ascii="Trebuchet MS" w:hAnsi="Trebuchet MS"/>
          <w:color w:val="1F4E79"/>
          <w:sz w:val="22"/>
          <w:szCs w:val="22"/>
          <w:lang w:val="en-GB"/>
        </w:rPr>
      </w:pPr>
      <w:r w:rsidRPr="004A5019">
        <w:rPr>
          <w:rFonts w:ascii="Trebuchet MS" w:hAnsi="Trebuchet MS"/>
          <w:color w:val="1F4E79"/>
          <w:sz w:val="22"/>
          <w:szCs w:val="22"/>
          <w:lang w:val="en-GB"/>
        </w:rPr>
        <w:t xml:space="preserve">insurance and taxes related to the buildings where the staff is located and to the equipment of the office (e.g. fire, theft insurances); </w:t>
      </w:r>
    </w:p>
    <w:p w14:paraId="3AC4BDFD" w14:textId="77777777" w:rsidR="00E70EFC" w:rsidRPr="004A5019" w:rsidRDefault="00E70EFC" w:rsidP="0043285E">
      <w:pPr>
        <w:numPr>
          <w:ilvl w:val="0"/>
          <w:numId w:val="14"/>
        </w:numPr>
        <w:spacing w:before="120"/>
        <w:jc w:val="both"/>
        <w:rPr>
          <w:rFonts w:ascii="Trebuchet MS" w:hAnsi="Trebuchet MS"/>
          <w:color w:val="1F4E79"/>
          <w:sz w:val="22"/>
          <w:szCs w:val="22"/>
          <w:lang w:val="en-GB"/>
        </w:rPr>
      </w:pPr>
      <w:r w:rsidRPr="004A5019">
        <w:rPr>
          <w:rFonts w:ascii="Trebuchet MS" w:hAnsi="Trebuchet MS"/>
          <w:color w:val="1F4E79"/>
          <w:sz w:val="22"/>
          <w:szCs w:val="22"/>
          <w:lang w:val="en-GB"/>
        </w:rPr>
        <w:t xml:space="preserve">utilities (e.g. electricity, heating, water); </w:t>
      </w:r>
    </w:p>
    <w:p w14:paraId="28B95D8A" w14:textId="77777777" w:rsidR="00E70EFC" w:rsidRDefault="00E70EFC" w:rsidP="0043285E">
      <w:pPr>
        <w:numPr>
          <w:ilvl w:val="0"/>
          <w:numId w:val="14"/>
        </w:numPr>
        <w:spacing w:before="120"/>
        <w:jc w:val="both"/>
        <w:rPr>
          <w:rFonts w:ascii="Trebuchet MS" w:hAnsi="Trebuchet MS"/>
          <w:color w:val="1F4E79"/>
          <w:sz w:val="22"/>
          <w:szCs w:val="22"/>
          <w:lang w:val="en-GB"/>
        </w:rPr>
      </w:pPr>
      <w:r w:rsidRPr="004A5019">
        <w:rPr>
          <w:rFonts w:ascii="Trebuchet MS" w:hAnsi="Trebuchet MS"/>
          <w:color w:val="1F4E79"/>
          <w:sz w:val="22"/>
          <w:szCs w:val="22"/>
          <w:lang w:val="en-GB"/>
        </w:rPr>
        <w:t xml:space="preserve">office supplies; </w:t>
      </w:r>
    </w:p>
    <w:p w14:paraId="6A464DAC" w14:textId="77777777" w:rsidR="00E70EFC" w:rsidRPr="004A5019" w:rsidRDefault="00E70EFC" w:rsidP="0043285E">
      <w:pPr>
        <w:numPr>
          <w:ilvl w:val="0"/>
          <w:numId w:val="14"/>
        </w:numPr>
        <w:spacing w:before="120"/>
        <w:jc w:val="both"/>
        <w:rPr>
          <w:rFonts w:ascii="Trebuchet MS" w:hAnsi="Trebuchet MS"/>
          <w:color w:val="1F4E79"/>
          <w:sz w:val="22"/>
          <w:szCs w:val="22"/>
          <w:lang w:val="en-GB"/>
        </w:rPr>
      </w:pPr>
      <w:r w:rsidRPr="004A5019">
        <w:rPr>
          <w:rFonts w:ascii="Trebuchet MS" w:hAnsi="Trebuchet MS"/>
          <w:color w:val="1F4E79"/>
          <w:sz w:val="22"/>
          <w:szCs w:val="22"/>
          <w:lang w:val="en-GB"/>
        </w:rPr>
        <w:t xml:space="preserve">accounting; </w:t>
      </w:r>
    </w:p>
    <w:p w14:paraId="261EB7D2" w14:textId="77777777" w:rsidR="00E70EFC" w:rsidRPr="004A5019" w:rsidRDefault="00E70EFC" w:rsidP="0043285E">
      <w:pPr>
        <w:numPr>
          <w:ilvl w:val="0"/>
          <w:numId w:val="14"/>
        </w:numPr>
        <w:spacing w:before="120"/>
        <w:jc w:val="both"/>
        <w:rPr>
          <w:rFonts w:ascii="Trebuchet MS" w:hAnsi="Trebuchet MS"/>
          <w:color w:val="1F4E79"/>
          <w:sz w:val="22"/>
          <w:szCs w:val="22"/>
          <w:lang w:val="en-GB"/>
        </w:rPr>
      </w:pPr>
      <w:r w:rsidRPr="004A5019">
        <w:rPr>
          <w:rFonts w:ascii="Trebuchet MS" w:hAnsi="Trebuchet MS"/>
          <w:color w:val="1F4E79"/>
          <w:sz w:val="22"/>
          <w:szCs w:val="22"/>
          <w:lang w:val="en-GB"/>
        </w:rPr>
        <w:t xml:space="preserve">archives; </w:t>
      </w:r>
    </w:p>
    <w:p w14:paraId="037EC231" w14:textId="77777777" w:rsidR="00E70EFC" w:rsidRPr="004A5019" w:rsidRDefault="00E70EFC" w:rsidP="0043285E">
      <w:pPr>
        <w:numPr>
          <w:ilvl w:val="0"/>
          <w:numId w:val="14"/>
        </w:numPr>
        <w:spacing w:before="120"/>
        <w:jc w:val="both"/>
        <w:rPr>
          <w:rFonts w:ascii="Trebuchet MS" w:hAnsi="Trebuchet MS"/>
          <w:color w:val="1F4E79"/>
          <w:sz w:val="22"/>
          <w:szCs w:val="22"/>
          <w:lang w:val="en-GB"/>
        </w:rPr>
      </w:pPr>
      <w:r w:rsidRPr="004A5019">
        <w:rPr>
          <w:rFonts w:ascii="Trebuchet MS" w:hAnsi="Trebuchet MS"/>
          <w:color w:val="1F4E79"/>
          <w:sz w:val="22"/>
          <w:szCs w:val="22"/>
          <w:lang w:val="en-GB"/>
        </w:rPr>
        <w:t xml:space="preserve">maintenance, cleaning and repairs; </w:t>
      </w:r>
    </w:p>
    <w:p w14:paraId="30EC8F8B" w14:textId="77777777" w:rsidR="00E70EFC" w:rsidRPr="004A5019" w:rsidRDefault="00E70EFC" w:rsidP="0043285E">
      <w:pPr>
        <w:numPr>
          <w:ilvl w:val="0"/>
          <w:numId w:val="14"/>
        </w:numPr>
        <w:spacing w:before="120"/>
        <w:jc w:val="both"/>
        <w:rPr>
          <w:rFonts w:ascii="Trebuchet MS" w:hAnsi="Trebuchet MS"/>
          <w:color w:val="1F4E79"/>
          <w:sz w:val="22"/>
          <w:szCs w:val="22"/>
          <w:lang w:val="en-GB"/>
        </w:rPr>
      </w:pPr>
      <w:r w:rsidRPr="004A5019">
        <w:rPr>
          <w:rFonts w:ascii="Trebuchet MS" w:hAnsi="Trebuchet MS"/>
          <w:color w:val="1F4E79"/>
          <w:sz w:val="22"/>
          <w:szCs w:val="22"/>
          <w:lang w:val="en-GB"/>
        </w:rPr>
        <w:t xml:space="preserve">security; </w:t>
      </w:r>
    </w:p>
    <w:p w14:paraId="7E4B94BE" w14:textId="77777777" w:rsidR="00E70EFC" w:rsidRPr="004A5019" w:rsidRDefault="00E70EFC" w:rsidP="0043285E">
      <w:pPr>
        <w:numPr>
          <w:ilvl w:val="0"/>
          <w:numId w:val="14"/>
        </w:numPr>
        <w:spacing w:before="120"/>
        <w:jc w:val="both"/>
        <w:rPr>
          <w:rFonts w:ascii="Trebuchet MS" w:hAnsi="Trebuchet MS"/>
          <w:color w:val="1F4E79"/>
          <w:sz w:val="22"/>
          <w:szCs w:val="22"/>
          <w:lang w:val="en-GB"/>
        </w:rPr>
      </w:pPr>
      <w:r w:rsidRPr="004A5019">
        <w:rPr>
          <w:rFonts w:ascii="Trebuchet MS" w:hAnsi="Trebuchet MS"/>
          <w:color w:val="1F4E79"/>
          <w:sz w:val="22"/>
          <w:szCs w:val="22"/>
          <w:lang w:val="en-GB"/>
        </w:rPr>
        <w:t>IT systems</w:t>
      </w:r>
      <w:r w:rsidR="00932DF9">
        <w:rPr>
          <w:rFonts w:ascii="Trebuchet MS" w:hAnsi="Trebuchet MS"/>
          <w:color w:val="1F4E79"/>
          <w:sz w:val="22"/>
          <w:szCs w:val="22"/>
          <w:lang w:val="en-GB"/>
        </w:rPr>
        <w:t xml:space="preserve"> </w:t>
      </w:r>
      <w:r w:rsidR="00932DF9" w:rsidRPr="00932DF9">
        <w:rPr>
          <w:rFonts w:ascii="Trebuchet MS" w:hAnsi="Trebuchet MS"/>
          <w:color w:val="1F4E79"/>
          <w:sz w:val="22"/>
          <w:szCs w:val="22"/>
          <w:lang w:val="en-GB"/>
        </w:rPr>
        <w:t>(</w:t>
      </w:r>
      <w:r w:rsidR="00932DF9" w:rsidRPr="00932DF9" w:rsidDel="00636A72">
        <w:rPr>
          <w:rFonts w:ascii="Trebuchet MS" w:hAnsi="Trebuchet MS"/>
          <w:color w:val="1F4E79"/>
          <w:sz w:val="22"/>
          <w:szCs w:val="22"/>
          <w:lang w:val="en-GB"/>
        </w:rPr>
        <w:t>e.g</w:t>
      </w:r>
      <w:r w:rsidR="00932DF9" w:rsidRPr="00932DF9">
        <w:rPr>
          <w:rFonts w:ascii="Trebuchet MS" w:hAnsi="Trebuchet MS"/>
          <w:color w:val="1F4E79"/>
          <w:sz w:val="22"/>
          <w:szCs w:val="22"/>
          <w:lang w:val="en-GB"/>
        </w:rPr>
        <w:t>., administration and management of office hard- and software)</w:t>
      </w:r>
      <w:r w:rsidRPr="004A5019">
        <w:rPr>
          <w:rFonts w:ascii="Trebuchet MS" w:hAnsi="Trebuchet MS"/>
          <w:color w:val="1F4E79"/>
          <w:sz w:val="22"/>
          <w:szCs w:val="22"/>
          <w:lang w:val="en-GB"/>
        </w:rPr>
        <w:t xml:space="preserve">; </w:t>
      </w:r>
    </w:p>
    <w:p w14:paraId="349647A4" w14:textId="77777777" w:rsidR="00E70EFC" w:rsidRPr="004A5019" w:rsidRDefault="00E70EFC" w:rsidP="0043285E">
      <w:pPr>
        <w:numPr>
          <w:ilvl w:val="0"/>
          <w:numId w:val="14"/>
        </w:numPr>
        <w:spacing w:before="120"/>
        <w:jc w:val="both"/>
        <w:rPr>
          <w:rFonts w:ascii="Trebuchet MS" w:hAnsi="Trebuchet MS"/>
          <w:color w:val="1F4E79"/>
          <w:sz w:val="22"/>
          <w:szCs w:val="22"/>
          <w:lang w:val="en-GB"/>
        </w:rPr>
      </w:pPr>
      <w:r w:rsidRPr="004A5019">
        <w:rPr>
          <w:rFonts w:ascii="Trebuchet MS" w:hAnsi="Trebuchet MS"/>
          <w:color w:val="1F4E79"/>
          <w:sz w:val="22"/>
          <w:szCs w:val="22"/>
          <w:lang w:val="en-GB"/>
        </w:rPr>
        <w:t xml:space="preserve">communication (e.g. telephone, fax, internet, postal services, business cards); </w:t>
      </w:r>
    </w:p>
    <w:p w14:paraId="044739EB" w14:textId="77777777" w:rsidR="00E70EFC" w:rsidRPr="004A5019" w:rsidRDefault="00E70EFC" w:rsidP="0043285E">
      <w:pPr>
        <w:numPr>
          <w:ilvl w:val="0"/>
          <w:numId w:val="14"/>
        </w:numPr>
        <w:spacing w:before="120"/>
        <w:jc w:val="both"/>
        <w:rPr>
          <w:rFonts w:ascii="Trebuchet MS" w:hAnsi="Trebuchet MS"/>
          <w:color w:val="1F4E79"/>
          <w:sz w:val="22"/>
          <w:szCs w:val="22"/>
          <w:lang w:val="en-GB"/>
        </w:rPr>
      </w:pPr>
      <w:r w:rsidRPr="004A5019">
        <w:rPr>
          <w:rFonts w:ascii="Trebuchet MS" w:hAnsi="Trebuchet MS"/>
          <w:color w:val="1F4E79"/>
          <w:sz w:val="22"/>
          <w:szCs w:val="22"/>
          <w:lang w:val="en-GB"/>
        </w:rPr>
        <w:t>bank charges for opening and administering the account or accounts where the implementation of an operation requires a separate account to be opened;</w:t>
      </w:r>
    </w:p>
    <w:p w14:paraId="3B85AFF5" w14:textId="77777777" w:rsidR="00E70EFC" w:rsidRPr="004A5019" w:rsidRDefault="00E70EFC" w:rsidP="0043285E">
      <w:pPr>
        <w:numPr>
          <w:ilvl w:val="0"/>
          <w:numId w:val="14"/>
        </w:numPr>
        <w:spacing w:before="120"/>
        <w:jc w:val="both"/>
        <w:rPr>
          <w:rFonts w:ascii="Trebuchet MS" w:hAnsi="Trebuchet MS"/>
          <w:color w:val="1F4E79"/>
          <w:sz w:val="22"/>
          <w:szCs w:val="22"/>
          <w:lang w:val="en-GB"/>
        </w:rPr>
      </w:pPr>
      <w:r w:rsidRPr="004A5019">
        <w:rPr>
          <w:rFonts w:ascii="Trebuchet MS" w:hAnsi="Trebuchet MS"/>
          <w:color w:val="1F4E79"/>
          <w:sz w:val="22"/>
          <w:szCs w:val="22"/>
          <w:lang w:val="en-GB"/>
        </w:rPr>
        <w:t>charges for</w:t>
      </w:r>
      <w:r w:rsidR="00296019" w:rsidRPr="004A5019">
        <w:rPr>
          <w:rFonts w:ascii="Trebuchet MS" w:hAnsi="Trebuchet MS"/>
          <w:color w:val="1F4E79"/>
          <w:sz w:val="22"/>
          <w:szCs w:val="22"/>
          <w:lang w:val="en-GB"/>
        </w:rPr>
        <w:t xml:space="preserve"> </w:t>
      </w:r>
      <w:r w:rsidRPr="004A5019">
        <w:rPr>
          <w:rFonts w:ascii="Trebuchet MS" w:hAnsi="Trebuchet MS"/>
          <w:color w:val="1F4E79"/>
          <w:sz w:val="22"/>
          <w:szCs w:val="22"/>
          <w:lang w:val="en-GB"/>
        </w:rPr>
        <w:t xml:space="preserve">transnational financial transactions. </w:t>
      </w:r>
    </w:p>
    <w:p w14:paraId="12BC1DB4" w14:textId="5CB35831" w:rsidR="00CF1374" w:rsidRPr="002857D8" w:rsidRDefault="00F4553D" w:rsidP="0043285E">
      <w:pPr>
        <w:numPr>
          <w:ilvl w:val="0"/>
          <w:numId w:val="13"/>
        </w:numPr>
        <w:spacing w:before="120"/>
        <w:ind w:left="714" w:hanging="357"/>
        <w:jc w:val="both"/>
        <w:rPr>
          <w:rFonts w:ascii="Trebuchet MS" w:hAnsi="Trebuchet MS" w:cs="Trebuchet MS"/>
          <w:b/>
          <w:color w:val="1F4E79"/>
          <w:sz w:val="22"/>
          <w:szCs w:val="22"/>
          <w:lang w:val="en-GB"/>
        </w:rPr>
      </w:pPr>
      <w:r w:rsidRPr="004A5019">
        <w:rPr>
          <w:rFonts w:ascii="Trebuchet MS" w:hAnsi="Trebuchet MS"/>
          <w:b/>
          <w:color w:val="1F4E79"/>
          <w:sz w:val="22"/>
          <w:szCs w:val="22"/>
        </w:rPr>
        <w:t xml:space="preserve">Office and administrative expenditure shall be reimbursed as a flat rate of </w:t>
      </w:r>
      <w:r w:rsidR="002F2EE1">
        <w:rPr>
          <w:rFonts w:ascii="Trebuchet MS" w:hAnsi="Trebuchet MS"/>
          <w:b/>
          <w:color w:val="1F4E79"/>
          <w:sz w:val="22"/>
          <w:szCs w:val="22"/>
        </w:rPr>
        <w:t xml:space="preserve">or up to </w:t>
      </w:r>
      <w:r w:rsidRPr="004A5019">
        <w:rPr>
          <w:rFonts w:ascii="Trebuchet MS" w:hAnsi="Trebuchet MS"/>
          <w:b/>
          <w:color w:val="1F4E79"/>
          <w:sz w:val="22"/>
          <w:szCs w:val="22"/>
        </w:rPr>
        <w:t>15% of eligible direct staff costs of the operation</w:t>
      </w:r>
      <w:r w:rsidR="002F2EE1">
        <w:rPr>
          <w:rFonts w:ascii="Trebuchet MS" w:hAnsi="Trebuchet MS"/>
          <w:b/>
          <w:color w:val="1F4E79"/>
          <w:sz w:val="22"/>
          <w:szCs w:val="22"/>
        </w:rPr>
        <w:t xml:space="preserve">, in accordance with the </w:t>
      </w:r>
      <w:r w:rsidR="006C53EB" w:rsidRPr="006C53EB">
        <w:rPr>
          <w:rFonts w:ascii="Trebuchet MS" w:hAnsi="Trebuchet MS"/>
          <w:b/>
          <w:color w:val="1F4E79"/>
          <w:sz w:val="22"/>
          <w:szCs w:val="22"/>
        </w:rPr>
        <w:t>Invitation for submission of the full application</w:t>
      </w:r>
      <w:r w:rsidR="001C7EC9">
        <w:rPr>
          <w:rFonts w:ascii="Trebuchet MS" w:hAnsi="Trebuchet MS"/>
          <w:b/>
          <w:color w:val="1F4E79"/>
          <w:sz w:val="22"/>
          <w:szCs w:val="22"/>
        </w:rPr>
        <w:t xml:space="preserve"> or the related </w:t>
      </w:r>
      <w:r w:rsidR="002F2EE1">
        <w:rPr>
          <w:rFonts w:ascii="Trebuchet MS" w:hAnsi="Trebuchet MS"/>
          <w:b/>
          <w:color w:val="1F4E79"/>
          <w:sz w:val="22"/>
          <w:szCs w:val="22"/>
        </w:rPr>
        <w:t xml:space="preserve">Applicant’s Guide for </w:t>
      </w:r>
      <w:r w:rsidR="001C7EC9">
        <w:rPr>
          <w:rFonts w:ascii="Trebuchet MS" w:hAnsi="Trebuchet MS"/>
          <w:b/>
          <w:color w:val="1F4E79"/>
          <w:sz w:val="22"/>
          <w:szCs w:val="22"/>
        </w:rPr>
        <w:t xml:space="preserve">the </w:t>
      </w:r>
      <w:r w:rsidR="002F2EE1">
        <w:rPr>
          <w:rFonts w:ascii="Trebuchet MS" w:hAnsi="Trebuchet MS"/>
          <w:b/>
          <w:color w:val="1F4E79"/>
          <w:sz w:val="22"/>
          <w:szCs w:val="22"/>
        </w:rPr>
        <w:t>call</w:t>
      </w:r>
      <w:r w:rsidR="00CF1374" w:rsidRPr="004A5019">
        <w:rPr>
          <w:rFonts w:ascii="Trebuchet MS" w:hAnsi="Trebuchet MS"/>
          <w:b/>
          <w:color w:val="1F4E79"/>
          <w:sz w:val="22"/>
          <w:szCs w:val="22"/>
        </w:rPr>
        <w:t>.</w:t>
      </w:r>
    </w:p>
    <w:p w14:paraId="55CC31BF" w14:textId="77777777" w:rsidR="002D6A18" w:rsidRPr="00A01C97" w:rsidRDefault="00CF1374" w:rsidP="0043285E">
      <w:pPr>
        <w:numPr>
          <w:ilvl w:val="0"/>
          <w:numId w:val="13"/>
        </w:numPr>
        <w:spacing w:before="120"/>
        <w:ind w:left="714" w:hanging="357"/>
        <w:jc w:val="both"/>
        <w:rPr>
          <w:rFonts w:ascii="Trebuchet MS" w:hAnsi="Trebuchet MS"/>
          <w:snapToGrid w:val="0"/>
          <w:color w:val="1F4E79"/>
          <w:sz w:val="22"/>
          <w:szCs w:val="22"/>
          <w:lang w:val="en-GB"/>
        </w:rPr>
      </w:pPr>
      <w:r w:rsidRPr="004A5019">
        <w:rPr>
          <w:rFonts w:ascii="Trebuchet MS" w:hAnsi="Trebuchet MS"/>
          <w:snapToGrid w:val="0"/>
          <w:color w:val="1F4E79"/>
          <w:sz w:val="22"/>
          <w:szCs w:val="22"/>
          <w:lang w:val="en-GB"/>
        </w:rPr>
        <w:t xml:space="preserve">Beneficiaries do not need to document that the expenditure has been incurred and paid. </w:t>
      </w:r>
      <w:r w:rsidR="00A01C97" w:rsidRPr="00A01C97">
        <w:rPr>
          <w:rFonts w:ascii="Trebuchet MS" w:hAnsi="Trebuchet MS"/>
          <w:snapToGrid w:val="0"/>
          <w:color w:val="1F4E79"/>
          <w:sz w:val="22"/>
          <w:szCs w:val="22"/>
          <w:lang w:val="en-GB"/>
        </w:rPr>
        <w:t>However, documents proving the actions related to office and administrative costs could be requested during the project implementation.</w:t>
      </w:r>
    </w:p>
    <w:p w14:paraId="159D3E70" w14:textId="77777777" w:rsidR="001913FB" w:rsidRPr="004A5019" w:rsidRDefault="001913FB" w:rsidP="00C43E41">
      <w:pPr>
        <w:spacing w:before="240" w:after="120"/>
        <w:jc w:val="both"/>
        <w:rPr>
          <w:rFonts w:ascii="Trebuchet MS" w:hAnsi="Trebuchet MS" w:cs="Trebuchet MS"/>
          <w:b/>
          <w:color w:val="1F4E79"/>
          <w:sz w:val="22"/>
          <w:szCs w:val="22"/>
          <w:lang w:val="en-GB"/>
        </w:rPr>
      </w:pPr>
      <w:r w:rsidRPr="004A5019">
        <w:rPr>
          <w:rFonts w:ascii="Trebuchet MS" w:hAnsi="Trebuchet MS" w:cs="Trebuchet MS"/>
          <w:b/>
          <w:color w:val="1F4E79"/>
          <w:sz w:val="22"/>
          <w:szCs w:val="22"/>
          <w:lang w:val="en-GB"/>
        </w:rPr>
        <w:t xml:space="preserve">Article 11. </w:t>
      </w:r>
      <w:r w:rsidRPr="004A5019">
        <w:rPr>
          <w:rFonts w:ascii="Trebuchet MS" w:hAnsi="Trebuchet MS"/>
          <w:b/>
          <w:snapToGrid w:val="0"/>
          <w:color w:val="1F4E79"/>
          <w:sz w:val="22"/>
          <w:szCs w:val="22"/>
          <w:lang w:val="en-GB"/>
        </w:rPr>
        <w:t>Travel and accommodation costs</w:t>
      </w:r>
    </w:p>
    <w:p w14:paraId="4C70FE31" w14:textId="674B4882" w:rsidR="003D19E8" w:rsidRPr="004A5019" w:rsidRDefault="003D19E8" w:rsidP="0043285E">
      <w:pPr>
        <w:numPr>
          <w:ilvl w:val="0"/>
          <w:numId w:val="11"/>
        </w:numPr>
        <w:spacing w:before="120"/>
        <w:ind w:left="714" w:hanging="357"/>
        <w:jc w:val="both"/>
        <w:rPr>
          <w:rFonts w:ascii="Trebuchet MS" w:hAnsi="Trebuchet MS" w:cs="Trebuchet MS"/>
          <w:color w:val="1F4E79"/>
          <w:sz w:val="22"/>
          <w:szCs w:val="22"/>
          <w:lang w:val="en-GB"/>
        </w:rPr>
      </w:pPr>
      <w:r w:rsidRPr="004A5019">
        <w:rPr>
          <w:rFonts w:ascii="Trebuchet MS" w:hAnsi="Trebuchet MS"/>
          <w:snapToGrid w:val="0"/>
          <w:color w:val="1F4E79"/>
          <w:sz w:val="22"/>
          <w:szCs w:val="22"/>
          <w:lang w:val="en-GB"/>
        </w:rPr>
        <w:t>Travel and accommodation costs</w:t>
      </w:r>
      <w:r w:rsidRPr="004A5019">
        <w:rPr>
          <w:rFonts w:ascii="Trebuchet MS" w:hAnsi="Trebuchet MS"/>
          <w:color w:val="1F4E79"/>
          <w:sz w:val="22"/>
          <w:szCs w:val="22"/>
          <w:lang w:val="en-GB"/>
        </w:rPr>
        <w:t xml:space="preserve"> </w:t>
      </w:r>
      <w:r w:rsidRPr="004A5019">
        <w:rPr>
          <w:rFonts w:ascii="Trebuchet MS" w:hAnsi="Trebuchet MS"/>
          <w:snapToGrid w:val="0"/>
          <w:color w:val="1F4E79"/>
          <w:sz w:val="22"/>
          <w:szCs w:val="22"/>
          <w:lang w:val="en-GB"/>
        </w:rPr>
        <w:t xml:space="preserve">refers to the expenditure for travel and accommodation of staff of the beneficiary for missions that are necessary for the project implementation, regardless whether such costs refer to missions taking place inside or outside the </w:t>
      </w:r>
      <w:r w:rsidR="001A6B92">
        <w:rPr>
          <w:rFonts w:ascii="Trebuchet MS" w:hAnsi="Trebuchet MS"/>
          <w:snapToGrid w:val="0"/>
          <w:color w:val="1F4E79"/>
          <w:sz w:val="22"/>
          <w:szCs w:val="22"/>
          <w:lang w:val="en-GB"/>
        </w:rPr>
        <w:t>ITS</w:t>
      </w:r>
      <w:r w:rsidR="001A6B92" w:rsidRPr="004A5019">
        <w:rPr>
          <w:rFonts w:ascii="Trebuchet MS" w:hAnsi="Trebuchet MS"/>
          <w:snapToGrid w:val="0"/>
          <w:color w:val="1F4E79"/>
          <w:sz w:val="22"/>
          <w:szCs w:val="22"/>
          <w:lang w:val="en-GB"/>
        </w:rPr>
        <w:t xml:space="preserve"> </w:t>
      </w:r>
      <w:r w:rsidRPr="004A5019">
        <w:rPr>
          <w:rFonts w:ascii="Trebuchet MS" w:hAnsi="Trebuchet MS"/>
          <w:snapToGrid w:val="0"/>
          <w:color w:val="1F4E79"/>
          <w:sz w:val="22"/>
          <w:szCs w:val="22"/>
          <w:lang w:val="en-GB"/>
        </w:rPr>
        <w:t>area.</w:t>
      </w:r>
    </w:p>
    <w:p w14:paraId="25D47DC9" w14:textId="4E2994F8" w:rsidR="005D65A5" w:rsidRPr="004A5019" w:rsidRDefault="005D65A5" w:rsidP="0043285E">
      <w:pPr>
        <w:numPr>
          <w:ilvl w:val="0"/>
          <w:numId w:val="11"/>
        </w:numPr>
        <w:tabs>
          <w:tab w:val="left" w:pos="709"/>
        </w:tabs>
        <w:spacing w:before="120"/>
        <w:jc w:val="both"/>
        <w:rPr>
          <w:rFonts w:ascii="Trebuchet MS" w:hAnsi="Trebuchet MS"/>
          <w:snapToGrid w:val="0"/>
          <w:color w:val="1F4E79"/>
          <w:sz w:val="22"/>
          <w:szCs w:val="22"/>
          <w:lang w:val="en-GB"/>
        </w:rPr>
      </w:pPr>
      <w:r w:rsidRPr="004A5019">
        <w:rPr>
          <w:rFonts w:ascii="Trebuchet MS" w:hAnsi="Trebuchet MS"/>
          <w:snapToGrid w:val="0"/>
          <w:color w:val="1F4E79"/>
          <w:sz w:val="22"/>
          <w:szCs w:val="22"/>
          <w:lang w:val="en-GB"/>
        </w:rPr>
        <w:lastRenderedPageBreak/>
        <w:t xml:space="preserve">Travel and accommodation costs can be incurred and paid inside or outside the </w:t>
      </w:r>
      <w:r w:rsidR="001A6B92">
        <w:rPr>
          <w:rFonts w:ascii="Trebuchet MS" w:hAnsi="Trebuchet MS"/>
          <w:snapToGrid w:val="0"/>
          <w:color w:val="1F4E79"/>
          <w:sz w:val="22"/>
          <w:szCs w:val="22"/>
          <w:lang w:val="en-GB"/>
        </w:rPr>
        <w:t>ITS</w:t>
      </w:r>
      <w:r w:rsidR="001A6B92" w:rsidRPr="004A5019">
        <w:rPr>
          <w:rFonts w:ascii="Trebuchet MS" w:hAnsi="Trebuchet MS"/>
          <w:snapToGrid w:val="0"/>
          <w:color w:val="1F4E79"/>
          <w:sz w:val="22"/>
          <w:szCs w:val="22"/>
          <w:lang w:val="en-GB"/>
        </w:rPr>
        <w:t xml:space="preserve"> </w:t>
      </w:r>
      <w:r w:rsidRPr="004A5019">
        <w:rPr>
          <w:rFonts w:ascii="Trebuchet MS" w:hAnsi="Trebuchet MS"/>
          <w:snapToGrid w:val="0"/>
          <w:color w:val="1F4E79"/>
          <w:sz w:val="22"/>
          <w:szCs w:val="22"/>
          <w:lang w:val="en-GB"/>
        </w:rPr>
        <w:t xml:space="preserve">area and shall be limited to the following cost elements: </w:t>
      </w:r>
    </w:p>
    <w:p w14:paraId="63EA55A5" w14:textId="77777777" w:rsidR="005D65A5" w:rsidRPr="004A5019" w:rsidRDefault="005D65A5" w:rsidP="0043285E">
      <w:pPr>
        <w:numPr>
          <w:ilvl w:val="0"/>
          <w:numId w:val="12"/>
        </w:numPr>
        <w:tabs>
          <w:tab w:val="left" w:pos="709"/>
        </w:tabs>
        <w:spacing w:before="120"/>
        <w:jc w:val="both"/>
        <w:rPr>
          <w:rFonts w:ascii="Trebuchet MS" w:hAnsi="Trebuchet MS"/>
          <w:snapToGrid w:val="0"/>
          <w:color w:val="1F4E79"/>
          <w:sz w:val="22"/>
          <w:szCs w:val="22"/>
          <w:lang w:val="en-GB"/>
        </w:rPr>
      </w:pPr>
      <w:r w:rsidRPr="004A5019">
        <w:rPr>
          <w:rFonts w:ascii="Trebuchet MS" w:hAnsi="Trebuchet MS"/>
          <w:snapToGrid w:val="0"/>
          <w:color w:val="1F4E79"/>
          <w:sz w:val="22"/>
          <w:szCs w:val="22"/>
          <w:lang w:val="en-GB"/>
        </w:rPr>
        <w:t>travel costs (such as tickets, travel and car insurance, fuel, car mileage, toll, and parking fees);</w:t>
      </w:r>
    </w:p>
    <w:p w14:paraId="2FE47BAD" w14:textId="77777777" w:rsidR="005D65A5" w:rsidRPr="004A5019" w:rsidRDefault="005D65A5" w:rsidP="0043285E">
      <w:pPr>
        <w:numPr>
          <w:ilvl w:val="0"/>
          <w:numId w:val="12"/>
        </w:numPr>
        <w:tabs>
          <w:tab w:val="left" w:pos="709"/>
        </w:tabs>
        <w:spacing w:before="120"/>
        <w:jc w:val="both"/>
        <w:rPr>
          <w:rFonts w:ascii="Trebuchet MS" w:hAnsi="Trebuchet MS"/>
          <w:snapToGrid w:val="0"/>
          <w:color w:val="1F4E79"/>
          <w:sz w:val="22"/>
          <w:szCs w:val="22"/>
          <w:lang w:val="en-GB"/>
        </w:rPr>
      </w:pPr>
      <w:r w:rsidRPr="004A5019">
        <w:rPr>
          <w:rFonts w:ascii="Trebuchet MS" w:hAnsi="Trebuchet MS"/>
          <w:snapToGrid w:val="0"/>
          <w:color w:val="1F4E79"/>
          <w:sz w:val="22"/>
          <w:szCs w:val="22"/>
          <w:lang w:val="en-GB"/>
        </w:rPr>
        <w:t>the cost of meals;</w:t>
      </w:r>
    </w:p>
    <w:p w14:paraId="6B69626E" w14:textId="77777777" w:rsidR="005D65A5" w:rsidRPr="004A5019" w:rsidRDefault="005D65A5" w:rsidP="0043285E">
      <w:pPr>
        <w:numPr>
          <w:ilvl w:val="0"/>
          <w:numId w:val="12"/>
        </w:numPr>
        <w:tabs>
          <w:tab w:val="left" w:pos="709"/>
        </w:tabs>
        <w:spacing w:before="120"/>
        <w:jc w:val="both"/>
        <w:rPr>
          <w:rFonts w:ascii="Trebuchet MS" w:hAnsi="Trebuchet MS"/>
          <w:snapToGrid w:val="0"/>
          <w:color w:val="1F4E79"/>
          <w:sz w:val="22"/>
          <w:szCs w:val="22"/>
          <w:lang w:val="en-GB"/>
        </w:rPr>
      </w:pPr>
      <w:r w:rsidRPr="004A5019">
        <w:rPr>
          <w:rFonts w:ascii="Trebuchet MS" w:hAnsi="Trebuchet MS"/>
          <w:snapToGrid w:val="0"/>
          <w:color w:val="1F4E79"/>
          <w:sz w:val="22"/>
          <w:szCs w:val="22"/>
          <w:lang w:val="en-GB"/>
        </w:rPr>
        <w:t>accommodation costs;</w:t>
      </w:r>
    </w:p>
    <w:p w14:paraId="44F1F3D9" w14:textId="77777777" w:rsidR="005D65A5" w:rsidRPr="004A5019" w:rsidRDefault="00F91C30" w:rsidP="0043285E">
      <w:pPr>
        <w:numPr>
          <w:ilvl w:val="0"/>
          <w:numId w:val="12"/>
        </w:numPr>
        <w:tabs>
          <w:tab w:val="left" w:pos="709"/>
        </w:tabs>
        <w:spacing w:before="120"/>
        <w:jc w:val="both"/>
        <w:rPr>
          <w:rFonts w:ascii="Trebuchet MS" w:hAnsi="Trebuchet MS"/>
          <w:snapToGrid w:val="0"/>
          <w:color w:val="1F4E79"/>
          <w:sz w:val="22"/>
          <w:szCs w:val="22"/>
          <w:lang w:val="en-GB"/>
        </w:rPr>
      </w:pPr>
      <w:r w:rsidRPr="004A5019">
        <w:rPr>
          <w:rFonts w:ascii="Trebuchet MS" w:hAnsi="Trebuchet MS"/>
          <w:snapToGrid w:val="0"/>
          <w:color w:val="1F4E79"/>
          <w:sz w:val="22"/>
          <w:szCs w:val="22"/>
          <w:lang w:val="en-GB"/>
        </w:rPr>
        <w:t>visa costs;</w:t>
      </w:r>
    </w:p>
    <w:p w14:paraId="1124963D" w14:textId="77777777" w:rsidR="005D65A5" w:rsidRPr="004A5019" w:rsidRDefault="005D65A5" w:rsidP="0043285E">
      <w:pPr>
        <w:numPr>
          <w:ilvl w:val="0"/>
          <w:numId w:val="12"/>
        </w:numPr>
        <w:tabs>
          <w:tab w:val="left" w:pos="709"/>
        </w:tabs>
        <w:spacing w:before="120"/>
        <w:jc w:val="both"/>
        <w:rPr>
          <w:rFonts w:ascii="Trebuchet MS" w:hAnsi="Trebuchet MS"/>
          <w:snapToGrid w:val="0"/>
          <w:color w:val="1F4E79"/>
          <w:sz w:val="22"/>
          <w:szCs w:val="22"/>
          <w:lang w:val="en-GB"/>
        </w:rPr>
      </w:pPr>
      <w:r w:rsidRPr="004A5019">
        <w:rPr>
          <w:rFonts w:ascii="Trebuchet MS" w:hAnsi="Trebuchet MS"/>
          <w:snapToGrid w:val="0"/>
          <w:color w:val="1F4E79"/>
          <w:sz w:val="22"/>
          <w:szCs w:val="22"/>
          <w:lang w:val="en-GB"/>
        </w:rPr>
        <w:t xml:space="preserve">daily allowances. </w:t>
      </w:r>
    </w:p>
    <w:p w14:paraId="43A463CC" w14:textId="77777777" w:rsidR="00E17762" w:rsidRPr="004A5019" w:rsidRDefault="002A4868" w:rsidP="0043285E">
      <w:pPr>
        <w:numPr>
          <w:ilvl w:val="0"/>
          <w:numId w:val="11"/>
        </w:numPr>
        <w:spacing w:before="120"/>
        <w:ind w:left="714" w:hanging="357"/>
        <w:rPr>
          <w:rFonts w:ascii="Trebuchet MS" w:hAnsi="Trebuchet MS" w:cs="Trebuchet MS"/>
          <w:color w:val="1F4E79"/>
          <w:sz w:val="22"/>
          <w:szCs w:val="22"/>
          <w:lang w:val="en-GB"/>
        </w:rPr>
      </w:pPr>
      <w:r w:rsidRPr="004A5019">
        <w:rPr>
          <w:rFonts w:ascii="Trebuchet MS" w:hAnsi="Trebuchet MS"/>
          <w:color w:val="1F4E79"/>
          <w:sz w:val="22"/>
          <w:szCs w:val="22"/>
          <w:lang w:val="en-GB"/>
        </w:rPr>
        <w:t xml:space="preserve">Any elements listed in points (a) to (d) of paragraph 2 covered by a daily allowance shall not be reimbursed in addition to the daily allowance. </w:t>
      </w:r>
    </w:p>
    <w:p w14:paraId="14956772" w14:textId="77777777" w:rsidR="00E17762" w:rsidRPr="004A5019" w:rsidRDefault="00E17762" w:rsidP="0043285E">
      <w:pPr>
        <w:numPr>
          <w:ilvl w:val="0"/>
          <w:numId w:val="11"/>
        </w:numPr>
        <w:spacing w:before="120"/>
        <w:ind w:left="714" w:hanging="357"/>
        <w:jc w:val="both"/>
        <w:rPr>
          <w:rFonts w:ascii="Trebuchet MS" w:hAnsi="Trebuchet MS" w:cs="Trebuchet MS"/>
          <w:color w:val="1F4E79"/>
          <w:sz w:val="22"/>
          <w:szCs w:val="22"/>
          <w:lang w:val="en-GB"/>
        </w:rPr>
      </w:pPr>
      <w:r w:rsidRPr="004A5019">
        <w:rPr>
          <w:rFonts w:ascii="Trebuchet MS" w:hAnsi="Trebuchet MS"/>
          <w:snapToGrid w:val="0"/>
          <w:color w:val="1F4E79"/>
          <w:sz w:val="22"/>
          <w:szCs w:val="22"/>
          <w:lang w:val="en-GB"/>
        </w:rPr>
        <w:t>Travel and accommodation costs shall cover the participation of project partners in events organised within the project (such us partners meetings etc.) or by other entities, relevant for the project implementation (such us the meetings organized by the Programme’s structures, other projects etc.).</w:t>
      </w:r>
    </w:p>
    <w:p w14:paraId="42AE4E31" w14:textId="77777777" w:rsidR="00586657" w:rsidRPr="004A5019" w:rsidRDefault="00586657" w:rsidP="0043285E">
      <w:pPr>
        <w:numPr>
          <w:ilvl w:val="0"/>
          <w:numId w:val="11"/>
        </w:numPr>
        <w:spacing w:before="120"/>
        <w:ind w:left="714" w:hanging="357"/>
        <w:jc w:val="both"/>
        <w:rPr>
          <w:rFonts w:ascii="Trebuchet MS" w:hAnsi="Trebuchet MS" w:cs="Trebuchet MS"/>
          <w:color w:val="1F4E79"/>
          <w:sz w:val="22"/>
          <w:szCs w:val="22"/>
          <w:lang w:val="en-GB"/>
        </w:rPr>
      </w:pPr>
      <w:r w:rsidRPr="004A5019">
        <w:rPr>
          <w:rFonts w:ascii="Trebuchet MS" w:hAnsi="Trebuchet MS"/>
          <w:color w:val="1F4E79"/>
          <w:sz w:val="22"/>
          <w:szCs w:val="22"/>
          <w:lang w:val="en-GB"/>
        </w:rPr>
        <w:t xml:space="preserve">The travel and accommodation expenses of external experts </w:t>
      </w:r>
      <w:r w:rsidRPr="004A5019">
        <w:rPr>
          <w:rFonts w:ascii="Trebuchet MS" w:hAnsi="Trebuchet MS"/>
          <w:snapToGrid w:val="0"/>
          <w:color w:val="1F4E79"/>
          <w:sz w:val="22"/>
          <w:szCs w:val="22"/>
          <w:lang w:val="en-GB"/>
        </w:rPr>
        <w:t>(including invited speakers, experts and chairpersons of meetings)</w:t>
      </w:r>
      <w:r w:rsidRPr="004A5019">
        <w:rPr>
          <w:rFonts w:ascii="Trebuchet MS" w:hAnsi="Trebuchet MS"/>
          <w:color w:val="1F4E79"/>
          <w:sz w:val="22"/>
          <w:szCs w:val="22"/>
          <w:lang w:val="en-GB"/>
        </w:rPr>
        <w:t xml:space="preserve"> and service providers fall under external expertise and services costs listed in Article</w:t>
      </w:r>
      <w:r w:rsidR="003C2DB6" w:rsidRPr="004A5019">
        <w:rPr>
          <w:rFonts w:ascii="Trebuchet MS" w:hAnsi="Trebuchet MS"/>
          <w:color w:val="1F4E79"/>
          <w:sz w:val="22"/>
          <w:szCs w:val="22"/>
          <w:lang w:val="en-GB"/>
        </w:rPr>
        <w:t xml:space="preserve"> 12</w:t>
      </w:r>
      <w:r w:rsidRPr="004A5019">
        <w:rPr>
          <w:rFonts w:ascii="Trebuchet MS" w:hAnsi="Trebuchet MS"/>
          <w:snapToGrid w:val="0"/>
          <w:color w:val="1F4E79"/>
          <w:sz w:val="22"/>
          <w:szCs w:val="22"/>
          <w:lang w:val="en-GB"/>
        </w:rPr>
        <w:t xml:space="preserve"> and shall be reimbursed on basis of real costs</w:t>
      </w:r>
      <w:r w:rsidRPr="004A5019">
        <w:rPr>
          <w:rFonts w:ascii="Trebuchet MS" w:hAnsi="Trebuchet MS"/>
          <w:color w:val="1F4E79"/>
          <w:sz w:val="22"/>
          <w:szCs w:val="22"/>
          <w:lang w:val="en-GB"/>
        </w:rPr>
        <w:t>.</w:t>
      </w:r>
      <w:r w:rsidRPr="004A5019">
        <w:rPr>
          <w:rFonts w:ascii="Trebuchet MS" w:hAnsi="Trebuchet MS"/>
          <w:snapToGrid w:val="0"/>
          <w:color w:val="1F4E79"/>
          <w:sz w:val="22"/>
          <w:szCs w:val="22"/>
          <w:lang w:val="en-GB"/>
        </w:rPr>
        <w:t xml:space="preserve"> The same applies to travel and accommodation costs of staff of institutions acting as associated partners.</w:t>
      </w:r>
    </w:p>
    <w:p w14:paraId="33FA761C" w14:textId="2C44BD98" w:rsidR="00E17762" w:rsidRPr="004A5019" w:rsidRDefault="00E17762" w:rsidP="0043285E">
      <w:pPr>
        <w:numPr>
          <w:ilvl w:val="0"/>
          <w:numId w:val="11"/>
        </w:numPr>
        <w:spacing w:before="120"/>
        <w:jc w:val="both"/>
        <w:rPr>
          <w:rFonts w:ascii="Trebuchet MS" w:hAnsi="Trebuchet MS" w:cs="Trebuchet MS"/>
          <w:b/>
          <w:color w:val="1F4E79"/>
          <w:sz w:val="22"/>
          <w:szCs w:val="22"/>
          <w:lang w:val="en-GB"/>
        </w:rPr>
      </w:pPr>
      <w:r w:rsidRPr="004A5019">
        <w:rPr>
          <w:rFonts w:ascii="Trebuchet MS" w:hAnsi="Trebuchet MS"/>
          <w:b/>
          <w:snapToGrid w:val="0"/>
          <w:color w:val="1F4E79"/>
          <w:sz w:val="22"/>
          <w:szCs w:val="22"/>
          <w:lang w:val="en-GB"/>
        </w:rPr>
        <w:t xml:space="preserve">Travel and accommodation costs </w:t>
      </w:r>
      <w:r w:rsidRPr="004A5019">
        <w:rPr>
          <w:rFonts w:ascii="Trebuchet MS" w:hAnsi="Trebuchet MS"/>
          <w:b/>
          <w:color w:val="1F4E79"/>
          <w:sz w:val="22"/>
          <w:szCs w:val="22"/>
        </w:rPr>
        <w:t xml:space="preserve">shall be reimbursed as a flat rate </w:t>
      </w:r>
      <w:r w:rsidRPr="004A5019">
        <w:rPr>
          <w:rFonts w:ascii="Trebuchet MS" w:hAnsi="Trebuchet MS"/>
          <w:b/>
          <w:snapToGrid w:val="0"/>
          <w:color w:val="1F4E79"/>
          <w:sz w:val="22"/>
          <w:szCs w:val="22"/>
          <w:lang w:val="en-GB"/>
        </w:rPr>
        <w:t xml:space="preserve">of </w:t>
      </w:r>
      <w:r w:rsidR="002F2EE1">
        <w:rPr>
          <w:rFonts w:ascii="Trebuchet MS" w:hAnsi="Trebuchet MS"/>
          <w:b/>
          <w:snapToGrid w:val="0"/>
          <w:color w:val="1F4E79"/>
          <w:sz w:val="22"/>
          <w:szCs w:val="22"/>
          <w:lang w:val="en-GB"/>
        </w:rPr>
        <w:t xml:space="preserve">or up to </w:t>
      </w:r>
      <w:r w:rsidRPr="004A5019">
        <w:rPr>
          <w:rFonts w:ascii="Trebuchet MS" w:hAnsi="Trebuchet MS"/>
          <w:b/>
          <w:snapToGrid w:val="0"/>
          <w:color w:val="1F4E79"/>
          <w:sz w:val="22"/>
          <w:szCs w:val="22"/>
          <w:lang w:val="en-GB"/>
        </w:rPr>
        <w:t xml:space="preserve">15% of </w:t>
      </w:r>
      <w:r w:rsidR="006B7FB0" w:rsidRPr="004A5019">
        <w:rPr>
          <w:rFonts w:ascii="Trebuchet MS" w:hAnsi="Trebuchet MS"/>
          <w:b/>
          <w:snapToGrid w:val="0"/>
          <w:color w:val="1F4E79"/>
          <w:sz w:val="22"/>
          <w:szCs w:val="22"/>
          <w:lang w:val="en-GB"/>
        </w:rPr>
        <w:t xml:space="preserve">the </w:t>
      </w:r>
      <w:r w:rsidRPr="004A5019">
        <w:rPr>
          <w:rFonts w:ascii="Trebuchet MS" w:hAnsi="Trebuchet MS"/>
          <w:b/>
          <w:snapToGrid w:val="0"/>
          <w:color w:val="1F4E79"/>
          <w:sz w:val="22"/>
          <w:szCs w:val="22"/>
          <w:lang w:val="en-GB"/>
        </w:rPr>
        <w:t>eligible direct staff costs of the operation</w:t>
      </w:r>
      <w:r w:rsidR="002F2EE1">
        <w:rPr>
          <w:rFonts w:ascii="Trebuchet MS" w:hAnsi="Trebuchet MS"/>
          <w:b/>
          <w:snapToGrid w:val="0"/>
          <w:color w:val="1F4E79"/>
          <w:sz w:val="22"/>
          <w:szCs w:val="22"/>
          <w:lang w:val="en-GB"/>
        </w:rPr>
        <w:t xml:space="preserve">, </w:t>
      </w:r>
      <w:r w:rsidR="002F2EE1">
        <w:rPr>
          <w:rFonts w:ascii="Trebuchet MS" w:hAnsi="Trebuchet MS"/>
          <w:b/>
          <w:color w:val="1F4E79"/>
          <w:sz w:val="22"/>
          <w:szCs w:val="22"/>
        </w:rPr>
        <w:t xml:space="preserve">in accordance with the </w:t>
      </w:r>
      <w:r w:rsidR="002E5B02" w:rsidRPr="002E5B02">
        <w:rPr>
          <w:rFonts w:ascii="Trebuchet MS" w:hAnsi="Trebuchet MS"/>
          <w:b/>
          <w:snapToGrid w:val="0"/>
          <w:color w:val="1F4E79"/>
          <w:sz w:val="22"/>
          <w:szCs w:val="22"/>
          <w:lang w:val="en-GB"/>
        </w:rPr>
        <w:t>Invitation for submission of the full application</w:t>
      </w:r>
      <w:r w:rsidR="001C7EC9">
        <w:rPr>
          <w:rFonts w:ascii="Trebuchet MS" w:hAnsi="Trebuchet MS"/>
          <w:b/>
          <w:snapToGrid w:val="0"/>
          <w:color w:val="1F4E79"/>
          <w:sz w:val="22"/>
          <w:szCs w:val="22"/>
          <w:lang w:val="en-GB"/>
        </w:rPr>
        <w:t xml:space="preserve"> or the related </w:t>
      </w:r>
      <w:r w:rsidR="002F2EE1" w:rsidRPr="002E5B02">
        <w:rPr>
          <w:rFonts w:ascii="Trebuchet MS" w:hAnsi="Trebuchet MS"/>
          <w:b/>
          <w:snapToGrid w:val="0"/>
          <w:color w:val="1F4E79"/>
          <w:sz w:val="22"/>
          <w:szCs w:val="22"/>
          <w:lang w:val="en-GB"/>
        </w:rPr>
        <w:t xml:space="preserve">Applicant’s </w:t>
      </w:r>
      <w:r w:rsidR="002F2EE1">
        <w:rPr>
          <w:rFonts w:ascii="Trebuchet MS" w:hAnsi="Trebuchet MS"/>
          <w:b/>
          <w:color w:val="1F4E79"/>
          <w:sz w:val="22"/>
          <w:szCs w:val="22"/>
        </w:rPr>
        <w:t xml:space="preserve">Guide for </w:t>
      </w:r>
      <w:r w:rsidR="001C7EC9">
        <w:rPr>
          <w:rFonts w:ascii="Trebuchet MS" w:hAnsi="Trebuchet MS"/>
          <w:b/>
          <w:color w:val="1F4E79"/>
          <w:sz w:val="22"/>
          <w:szCs w:val="22"/>
        </w:rPr>
        <w:t xml:space="preserve">the </w:t>
      </w:r>
      <w:r w:rsidR="002F2EE1">
        <w:rPr>
          <w:rFonts w:ascii="Trebuchet MS" w:hAnsi="Trebuchet MS"/>
          <w:b/>
          <w:color w:val="1F4E79"/>
          <w:sz w:val="22"/>
          <w:szCs w:val="22"/>
        </w:rPr>
        <w:t>call</w:t>
      </w:r>
      <w:r w:rsidRPr="004A5019">
        <w:rPr>
          <w:rFonts w:ascii="Trebuchet MS" w:hAnsi="Trebuchet MS"/>
          <w:b/>
          <w:snapToGrid w:val="0"/>
          <w:color w:val="1F4E79"/>
          <w:sz w:val="22"/>
          <w:szCs w:val="22"/>
          <w:lang w:val="en-GB"/>
        </w:rPr>
        <w:t>.</w:t>
      </w:r>
    </w:p>
    <w:p w14:paraId="2A91CE84" w14:textId="77777777" w:rsidR="00E17762" w:rsidRPr="00A01C97" w:rsidRDefault="00E17762" w:rsidP="0043285E">
      <w:pPr>
        <w:numPr>
          <w:ilvl w:val="0"/>
          <w:numId w:val="11"/>
        </w:numPr>
        <w:spacing w:before="120"/>
        <w:jc w:val="both"/>
        <w:rPr>
          <w:rFonts w:ascii="Trebuchet MS" w:hAnsi="Trebuchet MS"/>
          <w:snapToGrid w:val="0"/>
          <w:color w:val="1F4E79"/>
          <w:sz w:val="22"/>
          <w:szCs w:val="22"/>
          <w:lang w:val="en-GB"/>
        </w:rPr>
      </w:pPr>
      <w:r w:rsidRPr="004A5019">
        <w:rPr>
          <w:rFonts w:ascii="Trebuchet MS" w:hAnsi="Trebuchet MS"/>
          <w:snapToGrid w:val="0"/>
          <w:color w:val="1F4E79"/>
          <w:sz w:val="22"/>
          <w:szCs w:val="22"/>
          <w:lang w:val="en-GB"/>
        </w:rPr>
        <w:t>The beneficiaries do not need to document that the expenditure for travel and accommodation costs has been incurred and paid</w:t>
      </w:r>
      <w:r w:rsidR="00A01C97">
        <w:rPr>
          <w:rFonts w:ascii="Trebuchet MS" w:hAnsi="Trebuchet MS"/>
          <w:snapToGrid w:val="0"/>
          <w:color w:val="1F4E79"/>
          <w:sz w:val="22"/>
          <w:szCs w:val="22"/>
          <w:lang w:val="en-GB"/>
        </w:rPr>
        <w:t xml:space="preserve">. </w:t>
      </w:r>
      <w:r w:rsidR="00A01C97" w:rsidRPr="00A01C97">
        <w:rPr>
          <w:rFonts w:ascii="Trebuchet MS" w:hAnsi="Trebuchet MS"/>
          <w:snapToGrid w:val="0"/>
          <w:color w:val="1F4E79"/>
          <w:sz w:val="22"/>
          <w:szCs w:val="22"/>
          <w:lang w:val="en-GB"/>
        </w:rPr>
        <w:t>However, documents proving the actions related to travel and accommodation could be requested during the project implementation.</w:t>
      </w:r>
    </w:p>
    <w:p w14:paraId="36AC563A" w14:textId="77777777" w:rsidR="00E17762" w:rsidRPr="004A5019" w:rsidRDefault="00576489" w:rsidP="00C43E41">
      <w:pPr>
        <w:spacing w:before="240" w:after="120"/>
        <w:jc w:val="both"/>
        <w:rPr>
          <w:rFonts w:ascii="Trebuchet MS" w:hAnsi="Trebuchet MS" w:cs="Trebuchet MS"/>
          <w:b/>
          <w:color w:val="1F4E79"/>
          <w:sz w:val="22"/>
          <w:szCs w:val="22"/>
          <w:lang w:val="en-GB"/>
        </w:rPr>
      </w:pPr>
      <w:r w:rsidRPr="004A5019">
        <w:rPr>
          <w:rFonts w:ascii="Trebuchet MS" w:hAnsi="Trebuchet MS" w:cs="Trebuchet MS"/>
          <w:b/>
          <w:color w:val="1F4E79"/>
          <w:sz w:val="22"/>
          <w:szCs w:val="22"/>
          <w:lang w:val="en-GB"/>
        </w:rPr>
        <w:t>Article 12. External expertise and services costs</w:t>
      </w:r>
    </w:p>
    <w:p w14:paraId="0C74B25C" w14:textId="77777777" w:rsidR="00576489" w:rsidRPr="004A5019" w:rsidRDefault="002A5744" w:rsidP="0043285E">
      <w:pPr>
        <w:numPr>
          <w:ilvl w:val="0"/>
          <w:numId w:val="15"/>
        </w:numPr>
        <w:spacing w:before="120"/>
        <w:jc w:val="both"/>
        <w:rPr>
          <w:rFonts w:ascii="Trebuchet MS" w:hAnsi="Trebuchet MS" w:cs="Trebuchet MS"/>
          <w:color w:val="1F4E79"/>
          <w:sz w:val="22"/>
          <w:szCs w:val="22"/>
          <w:lang w:val="en-GB"/>
        </w:rPr>
      </w:pPr>
      <w:r w:rsidRPr="004A5019">
        <w:rPr>
          <w:rFonts w:ascii="Trebuchet MS" w:hAnsi="Trebuchet MS"/>
          <w:snapToGrid w:val="0"/>
          <w:color w:val="1F4E79"/>
          <w:sz w:val="22"/>
          <w:szCs w:val="22"/>
          <w:lang w:val="en-GB"/>
        </w:rPr>
        <w:t>External expertise and services can be provided by a public or private body or a natural person outside of the beneficiary organisation.</w:t>
      </w:r>
    </w:p>
    <w:p w14:paraId="73EB2B3E" w14:textId="77777777" w:rsidR="002A4868" w:rsidRPr="004A5019" w:rsidRDefault="002A5744" w:rsidP="0043285E">
      <w:pPr>
        <w:numPr>
          <w:ilvl w:val="0"/>
          <w:numId w:val="15"/>
        </w:numPr>
        <w:spacing w:before="120"/>
        <w:ind w:left="714" w:hanging="357"/>
        <w:jc w:val="both"/>
        <w:rPr>
          <w:rFonts w:ascii="Trebuchet MS" w:hAnsi="Trebuchet MS" w:cs="Trebuchet MS"/>
          <w:color w:val="1F4E79"/>
          <w:sz w:val="22"/>
          <w:szCs w:val="22"/>
          <w:lang w:val="en-GB"/>
        </w:rPr>
      </w:pPr>
      <w:r w:rsidRPr="004A5019">
        <w:rPr>
          <w:rFonts w:ascii="Trebuchet MS" w:hAnsi="Trebuchet MS"/>
          <w:snapToGrid w:val="0"/>
          <w:color w:val="1F4E79"/>
          <w:sz w:val="22"/>
          <w:szCs w:val="22"/>
          <w:lang w:val="en-GB"/>
        </w:rPr>
        <w:t>External expertise and services costs are paid on the basis of contracts or written agreements and against invoices or requests for reimbursement to external experts and service providers who are sub-contracted to carry out certain tasks or activities linked to the implementation of the project.</w:t>
      </w:r>
    </w:p>
    <w:p w14:paraId="1FE6CFBA" w14:textId="77777777" w:rsidR="002A5744" w:rsidRPr="004A5019" w:rsidRDefault="002A5744" w:rsidP="0043285E">
      <w:pPr>
        <w:numPr>
          <w:ilvl w:val="0"/>
          <w:numId w:val="15"/>
        </w:numPr>
        <w:spacing w:before="120"/>
        <w:ind w:left="714" w:hanging="357"/>
        <w:jc w:val="both"/>
        <w:rPr>
          <w:rFonts w:ascii="Trebuchet MS" w:hAnsi="Trebuchet MS" w:cs="Trebuchet MS"/>
          <w:color w:val="1F4E79"/>
          <w:sz w:val="22"/>
          <w:szCs w:val="22"/>
          <w:lang w:val="en-GB"/>
        </w:rPr>
      </w:pPr>
      <w:r w:rsidRPr="004A5019">
        <w:rPr>
          <w:rFonts w:ascii="Trebuchet MS" w:hAnsi="Trebuchet MS"/>
          <w:color w:val="1F4E79"/>
          <w:sz w:val="22"/>
          <w:szCs w:val="22"/>
          <w:lang w:val="en-GB"/>
        </w:rPr>
        <w:t xml:space="preserve">Expenditure on external expertise and service costs shall be limited to the following </w:t>
      </w:r>
      <w:r w:rsidRPr="004A5019">
        <w:rPr>
          <w:rFonts w:ascii="Trebuchet MS" w:hAnsi="Trebuchet MS"/>
          <w:snapToGrid w:val="0"/>
          <w:color w:val="1F4E79"/>
          <w:sz w:val="22"/>
          <w:szCs w:val="22"/>
          <w:lang w:val="en-GB"/>
        </w:rPr>
        <w:t>elements (exhaustive list):</w:t>
      </w:r>
    </w:p>
    <w:p w14:paraId="74BBE31E" w14:textId="77777777" w:rsidR="002A5744" w:rsidRPr="004A5019" w:rsidRDefault="002A5744" w:rsidP="0043285E">
      <w:pPr>
        <w:numPr>
          <w:ilvl w:val="0"/>
          <w:numId w:val="16"/>
        </w:numPr>
        <w:spacing w:before="120"/>
        <w:jc w:val="both"/>
        <w:rPr>
          <w:rFonts w:ascii="Trebuchet MS" w:hAnsi="Trebuchet MS" w:cs="Trebuchet MS"/>
          <w:color w:val="1F4E79"/>
          <w:sz w:val="22"/>
          <w:szCs w:val="22"/>
          <w:lang w:val="en-GB"/>
        </w:rPr>
      </w:pPr>
      <w:r w:rsidRPr="004A5019">
        <w:rPr>
          <w:rFonts w:ascii="Trebuchet MS" w:hAnsi="Trebuchet MS"/>
          <w:snapToGrid w:val="0"/>
          <w:color w:val="1F4E79"/>
          <w:sz w:val="22"/>
          <w:szCs w:val="22"/>
          <w:lang w:val="en-GB"/>
        </w:rPr>
        <w:t>Studies or surveys (e.g. evaluations, strategies, concept notes, design plans, handbooks);</w:t>
      </w:r>
    </w:p>
    <w:p w14:paraId="6704D9DA" w14:textId="77777777" w:rsidR="002A5744" w:rsidRPr="004A5019" w:rsidRDefault="002A5744" w:rsidP="0043285E">
      <w:pPr>
        <w:numPr>
          <w:ilvl w:val="0"/>
          <w:numId w:val="16"/>
        </w:numPr>
        <w:spacing w:before="120"/>
        <w:rPr>
          <w:rFonts w:ascii="Trebuchet MS" w:hAnsi="Trebuchet MS" w:cs="Trebuchet MS"/>
          <w:color w:val="1F4E79"/>
          <w:sz w:val="22"/>
          <w:szCs w:val="22"/>
          <w:lang w:val="en-GB"/>
        </w:rPr>
      </w:pPr>
      <w:r w:rsidRPr="004A5019">
        <w:rPr>
          <w:rFonts w:ascii="Trebuchet MS" w:hAnsi="Trebuchet MS"/>
          <w:snapToGrid w:val="0"/>
          <w:color w:val="1F4E79"/>
          <w:sz w:val="22"/>
          <w:szCs w:val="22"/>
          <w:lang w:val="en-GB"/>
        </w:rPr>
        <w:t>Training;</w:t>
      </w:r>
    </w:p>
    <w:p w14:paraId="40266606" w14:textId="77777777" w:rsidR="002A5744" w:rsidRPr="004A5019" w:rsidRDefault="002A5744" w:rsidP="0043285E">
      <w:pPr>
        <w:numPr>
          <w:ilvl w:val="0"/>
          <w:numId w:val="16"/>
        </w:numPr>
        <w:spacing w:before="120"/>
        <w:rPr>
          <w:rFonts w:ascii="Trebuchet MS" w:hAnsi="Trebuchet MS" w:cs="Trebuchet MS"/>
          <w:color w:val="1F4E79"/>
          <w:sz w:val="22"/>
          <w:szCs w:val="22"/>
          <w:lang w:val="en-GB"/>
        </w:rPr>
      </w:pPr>
      <w:r w:rsidRPr="004A5019">
        <w:rPr>
          <w:rFonts w:ascii="Trebuchet MS" w:hAnsi="Trebuchet MS"/>
          <w:snapToGrid w:val="0"/>
          <w:color w:val="1F4E79"/>
          <w:sz w:val="22"/>
          <w:szCs w:val="22"/>
          <w:lang w:val="en-GB"/>
        </w:rPr>
        <w:t>Translations;</w:t>
      </w:r>
    </w:p>
    <w:p w14:paraId="1C24C840" w14:textId="77777777" w:rsidR="002A5744" w:rsidRPr="004A5019" w:rsidRDefault="002A5744" w:rsidP="0043285E">
      <w:pPr>
        <w:numPr>
          <w:ilvl w:val="0"/>
          <w:numId w:val="16"/>
        </w:numPr>
        <w:spacing w:before="120"/>
        <w:rPr>
          <w:rFonts w:ascii="Trebuchet MS" w:hAnsi="Trebuchet MS" w:cs="Trebuchet MS"/>
          <w:color w:val="1F4E79"/>
          <w:sz w:val="22"/>
          <w:szCs w:val="22"/>
          <w:lang w:val="en-GB"/>
        </w:rPr>
      </w:pPr>
      <w:r w:rsidRPr="004A5019">
        <w:rPr>
          <w:rFonts w:ascii="Trebuchet MS" w:hAnsi="Trebuchet MS"/>
          <w:snapToGrid w:val="0"/>
          <w:color w:val="1F4E79"/>
          <w:sz w:val="22"/>
          <w:szCs w:val="22"/>
          <w:lang w:val="en-GB"/>
        </w:rPr>
        <w:t>Development, modifications and updates to IT systems and website (strictly related to the project);</w:t>
      </w:r>
    </w:p>
    <w:p w14:paraId="4A231172" w14:textId="77777777" w:rsidR="002A5744" w:rsidRPr="004A5019" w:rsidRDefault="002A5744" w:rsidP="0043285E">
      <w:pPr>
        <w:numPr>
          <w:ilvl w:val="0"/>
          <w:numId w:val="16"/>
        </w:numPr>
        <w:spacing w:before="120"/>
        <w:rPr>
          <w:rFonts w:ascii="Trebuchet MS" w:hAnsi="Trebuchet MS" w:cs="Trebuchet MS"/>
          <w:color w:val="1F4E79"/>
          <w:sz w:val="22"/>
          <w:szCs w:val="22"/>
          <w:lang w:val="en-GB"/>
        </w:rPr>
      </w:pPr>
      <w:r w:rsidRPr="004A5019">
        <w:rPr>
          <w:rFonts w:ascii="Trebuchet MS" w:hAnsi="Trebuchet MS"/>
          <w:snapToGrid w:val="0"/>
          <w:color w:val="1F4E79"/>
          <w:sz w:val="22"/>
          <w:szCs w:val="22"/>
          <w:lang w:val="en-GB"/>
        </w:rPr>
        <w:t>Promotion, communication, publicity or information linked to the project;</w:t>
      </w:r>
    </w:p>
    <w:p w14:paraId="3E612638" w14:textId="77777777" w:rsidR="002A5744" w:rsidRPr="004A5019" w:rsidRDefault="002A5744" w:rsidP="0043285E">
      <w:pPr>
        <w:numPr>
          <w:ilvl w:val="0"/>
          <w:numId w:val="16"/>
        </w:numPr>
        <w:spacing w:before="120"/>
        <w:rPr>
          <w:rFonts w:ascii="Trebuchet MS" w:hAnsi="Trebuchet MS" w:cs="Trebuchet MS"/>
          <w:color w:val="1F4E79"/>
          <w:sz w:val="22"/>
          <w:szCs w:val="22"/>
          <w:lang w:val="en-GB"/>
        </w:rPr>
      </w:pPr>
      <w:r w:rsidRPr="004A5019">
        <w:rPr>
          <w:rFonts w:ascii="Trebuchet MS" w:hAnsi="Trebuchet MS"/>
          <w:snapToGrid w:val="0"/>
          <w:color w:val="1F4E79"/>
          <w:sz w:val="22"/>
          <w:szCs w:val="22"/>
          <w:lang w:val="en-GB"/>
        </w:rPr>
        <w:lastRenderedPageBreak/>
        <w:t>Financial management;</w:t>
      </w:r>
    </w:p>
    <w:p w14:paraId="30040A16" w14:textId="77777777" w:rsidR="002A5744" w:rsidRPr="004A5019" w:rsidRDefault="002A5744" w:rsidP="0043285E">
      <w:pPr>
        <w:numPr>
          <w:ilvl w:val="0"/>
          <w:numId w:val="16"/>
        </w:numPr>
        <w:spacing w:before="120"/>
        <w:jc w:val="both"/>
        <w:rPr>
          <w:rFonts w:ascii="Trebuchet MS" w:hAnsi="Trebuchet MS" w:cs="Trebuchet MS"/>
          <w:color w:val="1F4E79"/>
          <w:sz w:val="22"/>
          <w:szCs w:val="22"/>
          <w:lang w:val="en-GB"/>
        </w:rPr>
      </w:pPr>
      <w:r w:rsidRPr="004A5019">
        <w:rPr>
          <w:rFonts w:ascii="Trebuchet MS" w:hAnsi="Trebuchet MS"/>
          <w:snapToGrid w:val="0"/>
          <w:color w:val="1F4E79"/>
          <w:sz w:val="22"/>
          <w:szCs w:val="22"/>
          <w:lang w:val="en-GB"/>
        </w:rPr>
        <w:t>Services related to the organisation and implementation of face-to-face events or meetings (including rent, catering or interpretation);</w:t>
      </w:r>
    </w:p>
    <w:p w14:paraId="2603BC5E" w14:textId="77777777" w:rsidR="002A5744" w:rsidRPr="004A5019" w:rsidRDefault="002A5744" w:rsidP="0043285E">
      <w:pPr>
        <w:numPr>
          <w:ilvl w:val="0"/>
          <w:numId w:val="16"/>
        </w:numPr>
        <w:spacing w:before="120"/>
        <w:rPr>
          <w:rFonts w:ascii="Trebuchet MS" w:hAnsi="Trebuchet MS" w:cs="Trebuchet MS"/>
          <w:color w:val="1F4E79"/>
          <w:sz w:val="22"/>
          <w:szCs w:val="22"/>
          <w:lang w:val="en-GB"/>
        </w:rPr>
      </w:pPr>
      <w:r w:rsidRPr="004A5019">
        <w:rPr>
          <w:rFonts w:ascii="Trebuchet MS" w:hAnsi="Trebuchet MS"/>
          <w:snapToGrid w:val="0"/>
          <w:color w:val="1F4E79"/>
          <w:sz w:val="22"/>
          <w:szCs w:val="22"/>
          <w:lang w:val="en-GB"/>
        </w:rPr>
        <w:t>Participation in events (e.g. registration fees);</w:t>
      </w:r>
    </w:p>
    <w:p w14:paraId="785E3BD6" w14:textId="77777777" w:rsidR="002A5744" w:rsidRPr="004A5019" w:rsidRDefault="002A5744" w:rsidP="0043285E">
      <w:pPr>
        <w:numPr>
          <w:ilvl w:val="0"/>
          <w:numId w:val="16"/>
        </w:numPr>
        <w:spacing w:before="120"/>
        <w:jc w:val="both"/>
        <w:rPr>
          <w:rFonts w:ascii="Trebuchet MS" w:hAnsi="Trebuchet MS" w:cs="Trebuchet MS"/>
          <w:color w:val="1F4E79"/>
          <w:sz w:val="22"/>
          <w:szCs w:val="22"/>
          <w:lang w:val="en-GB"/>
        </w:rPr>
      </w:pPr>
      <w:r w:rsidRPr="004A5019">
        <w:rPr>
          <w:rFonts w:ascii="Trebuchet MS" w:hAnsi="Trebuchet MS"/>
          <w:snapToGrid w:val="0"/>
          <w:color w:val="1F4E79"/>
          <w:sz w:val="22"/>
          <w:szCs w:val="22"/>
          <w:lang w:val="en-GB"/>
        </w:rPr>
        <w:t>Legal consultancy and notarial services, technical and financial expertise, other consultancy and accountancy services;</w:t>
      </w:r>
    </w:p>
    <w:p w14:paraId="522A6AD7" w14:textId="77777777" w:rsidR="002A5744" w:rsidRPr="004A5019" w:rsidRDefault="002A5744" w:rsidP="0043285E">
      <w:pPr>
        <w:numPr>
          <w:ilvl w:val="0"/>
          <w:numId w:val="16"/>
        </w:numPr>
        <w:spacing w:before="120"/>
        <w:rPr>
          <w:rFonts w:ascii="Trebuchet MS" w:hAnsi="Trebuchet MS" w:cs="Trebuchet MS"/>
          <w:color w:val="1F4E79"/>
          <w:sz w:val="22"/>
          <w:szCs w:val="22"/>
          <w:lang w:val="en-GB"/>
        </w:rPr>
      </w:pPr>
      <w:r w:rsidRPr="004A5019">
        <w:rPr>
          <w:rFonts w:ascii="Trebuchet MS" w:hAnsi="Trebuchet MS"/>
          <w:snapToGrid w:val="0"/>
          <w:color w:val="1F4E79"/>
          <w:sz w:val="22"/>
          <w:szCs w:val="22"/>
          <w:lang w:val="en-GB"/>
        </w:rPr>
        <w:t>Intellectual property rights;</w:t>
      </w:r>
    </w:p>
    <w:p w14:paraId="40519BBD" w14:textId="77777777" w:rsidR="002A5744" w:rsidRPr="004A5019" w:rsidRDefault="002A5744" w:rsidP="0043285E">
      <w:pPr>
        <w:numPr>
          <w:ilvl w:val="0"/>
          <w:numId w:val="16"/>
        </w:numPr>
        <w:spacing w:before="120"/>
        <w:rPr>
          <w:rFonts w:ascii="Trebuchet MS" w:hAnsi="Trebuchet MS" w:cs="Trebuchet MS"/>
          <w:color w:val="1F4E79"/>
          <w:sz w:val="22"/>
          <w:szCs w:val="22"/>
          <w:lang w:val="en-GB"/>
        </w:rPr>
      </w:pPr>
      <w:r w:rsidRPr="004A5019">
        <w:rPr>
          <w:rFonts w:ascii="Trebuchet MS" w:hAnsi="Trebuchet MS"/>
          <w:snapToGrid w:val="0"/>
          <w:color w:val="1F4E79"/>
          <w:sz w:val="22"/>
          <w:szCs w:val="22"/>
          <w:lang w:val="en-GB"/>
        </w:rPr>
        <w:t>Provisions of guarantees by a bank or other financial institution where required by EU or national law or in the programme manual;</w:t>
      </w:r>
    </w:p>
    <w:p w14:paraId="15D06F24" w14:textId="77777777" w:rsidR="002A5744" w:rsidRPr="004A5019" w:rsidRDefault="002A5744" w:rsidP="0043285E">
      <w:pPr>
        <w:numPr>
          <w:ilvl w:val="0"/>
          <w:numId w:val="16"/>
        </w:numPr>
        <w:spacing w:before="120"/>
        <w:rPr>
          <w:rFonts w:ascii="Trebuchet MS" w:hAnsi="Trebuchet MS" w:cs="Trebuchet MS"/>
          <w:color w:val="1F4E79"/>
          <w:sz w:val="22"/>
          <w:szCs w:val="22"/>
          <w:lang w:val="en-GB"/>
        </w:rPr>
      </w:pPr>
      <w:r w:rsidRPr="004A5019">
        <w:rPr>
          <w:rFonts w:ascii="Trebuchet MS" w:hAnsi="Trebuchet MS"/>
          <w:snapToGrid w:val="0"/>
          <w:color w:val="1F4E79"/>
          <w:sz w:val="22"/>
          <w:szCs w:val="22"/>
          <w:lang w:val="en-GB"/>
        </w:rPr>
        <w:t xml:space="preserve">Travel and accommodation for external experts, speakers, chairpersons of meetings and service providers; </w:t>
      </w:r>
    </w:p>
    <w:p w14:paraId="78446482" w14:textId="77777777" w:rsidR="002A5744" w:rsidRPr="004A5019" w:rsidRDefault="002A5744" w:rsidP="0043285E">
      <w:pPr>
        <w:numPr>
          <w:ilvl w:val="0"/>
          <w:numId w:val="16"/>
        </w:numPr>
        <w:spacing w:before="120"/>
        <w:rPr>
          <w:rFonts w:ascii="Trebuchet MS" w:hAnsi="Trebuchet MS" w:cs="Trebuchet MS"/>
          <w:color w:val="1F4E79"/>
          <w:sz w:val="22"/>
          <w:szCs w:val="22"/>
          <w:lang w:val="en-GB"/>
        </w:rPr>
      </w:pPr>
      <w:r w:rsidRPr="004A5019">
        <w:rPr>
          <w:rFonts w:ascii="Trebuchet MS" w:hAnsi="Trebuchet MS"/>
          <w:snapToGrid w:val="0"/>
          <w:color w:val="1F4E79"/>
          <w:sz w:val="22"/>
          <w:szCs w:val="22"/>
          <w:lang w:val="en-GB"/>
        </w:rPr>
        <w:t>Other specific expertise and services needed for the project.</w:t>
      </w:r>
    </w:p>
    <w:p w14:paraId="72D0C469" w14:textId="77777777" w:rsidR="00233B98" w:rsidRPr="004A5019" w:rsidRDefault="00233B98" w:rsidP="0043285E">
      <w:pPr>
        <w:numPr>
          <w:ilvl w:val="0"/>
          <w:numId w:val="15"/>
        </w:numPr>
        <w:spacing w:before="120"/>
        <w:ind w:left="714" w:hanging="357"/>
        <w:jc w:val="both"/>
        <w:rPr>
          <w:rFonts w:ascii="Trebuchet MS" w:hAnsi="Trebuchet MS" w:cs="Trebuchet MS"/>
          <w:color w:val="1F4E79"/>
          <w:sz w:val="22"/>
          <w:szCs w:val="22"/>
          <w:lang w:val="en-GB"/>
        </w:rPr>
      </w:pPr>
      <w:r w:rsidRPr="004A5019">
        <w:rPr>
          <w:rFonts w:ascii="Trebuchet MS" w:hAnsi="Trebuchet MS" w:cs="Trebuchet MS"/>
          <w:color w:val="1F4E79"/>
          <w:sz w:val="22"/>
          <w:szCs w:val="22"/>
          <w:lang w:val="en-GB"/>
        </w:rPr>
        <w:t>External expertise and services must be clearly and strictly linked to the project and be essential for its effective implementation;</w:t>
      </w:r>
    </w:p>
    <w:p w14:paraId="4E0BF3A5" w14:textId="77777777" w:rsidR="00233B98" w:rsidRPr="004A5019" w:rsidRDefault="00233B98" w:rsidP="0043285E">
      <w:pPr>
        <w:numPr>
          <w:ilvl w:val="0"/>
          <w:numId w:val="15"/>
        </w:numPr>
        <w:spacing w:before="120"/>
        <w:ind w:left="714" w:hanging="357"/>
        <w:jc w:val="both"/>
        <w:rPr>
          <w:rFonts w:ascii="Trebuchet MS" w:hAnsi="Trebuchet MS" w:cs="Trebuchet MS"/>
          <w:color w:val="1F4E79"/>
          <w:sz w:val="22"/>
          <w:szCs w:val="22"/>
          <w:lang w:val="en-GB"/>
        </w:rPr>
      </w:pPr>
      <w:r w:rsidRPr="004A5019">
        <w:rPr>
          <w:rFonts w:ascii="Trebuchet MS" w:hAnsi="Trebuchet MS" w:cs="Trebuchet MS"/>
          <w:color w:val="1F4E79"/>
          <w:sz w:val="22"/>
          <w:szCs w:val="22"/>
          <w:lang w:val="en-GB"/>
        </w:rPr>
        <w:t>External expertise and services have to be clearly foreseen in the application</w:t>
      </w:r>
      <w:r w:rsidR="00276FD0">
        <w:rPr>
          <w:rFonts w:ascii="Trebuchet MS" w:hAnsi="Trebuchet MS" w:cs="Trebuchet MS"/>
          <w:color w:val="1F4E79"/>
          <w:sz w:val="22"/>
          <w:szCs w:val="22"/>
          <w:lang w:val="en-GB"/>
        </w:rPr>
        <w:t xml:space="preserve"> and shall not duplicate costs already budgeted under staff costs or the task of project management team</w:t>
      </w:r>
      <w:r w:rsidR="00B86B54" w:rsidRPr="004A5019">
        <w:rPr>
          <w:rFonts w:ascii="Trebuchet MS" w:hAnsi="Trebuchet MS" w:cs="Trebuchet MS"/>
          <w:color w:val="1F4E79"/>
          <w:sz w:val="22"/>
          <w:szCs w:val="22"/>
          <w:lang w:val="en-GB"/>
        </w:rPr>
        <w:t>;</w:t>
      </w:r>
    </w:p>
    <w:p w14:paraId="3B8ED264" w14:textId="77777777" w:rsidR="006C1B0A" w:rsidRPr="004A5019" w:rsidRDefault="00233B98" w:rsidP="0043285E">
      <w:pPr>
        <w:numPr>
          <w:ilvl w:val="0"/>
          <w:numId w:val="15"/>
        </w:numPr>
        <w:spacing w:before="120"/>
        <w:ind w:left="714" w:hanging="357"/>
        <w:jc w:val="both"/>
        <w:rPr>
          <w:rFonts w:ascii="Trebuchet MS" w:hAnsi="Trebuchet MS" w:cs="Trebuchet MS"/>
          <w:color w:val="1F4E79"/>
          <w:sz w:val="22"/>
          <w:szCs w:val="22"/>
          <w:lang w:val="en-GB"/>
        </w:rPr>
      </w:pPr>
      <w:r w:rsidRPr="004A5019">
        <w:rPr>
          <w:rFonts w:ascii="Trebuchet MS" w:hAnsi="Trebuchet MS" w:cs="Trebuchet MS"/>
          <w:color w:val="1F4E79"/>
          <w:sz w:val="22"/>
          <w:szCs w:val="22"/>
          <w:lang w:val="en-GB"/>
        </w:rPr>
        <w:t xml:space="preserve">Promotional materials are eligible only if referring to items included in the programme pre-defined list of eligible </w:t>
      </w:r>
      <w:r w:rsidRPr="0097548C">
        <w:rPr>
          <w:rFonts w:ascii="Trebuchet MS" w:hAnsi="Trebuchet MS" w:cs="Trebuchet MS"/>
          <w:color w:val="1F4E79"/>
          <w:sz w:val="22"/>
          <w:szCs w:val="22"/>
          <w:lang w:val="en-GB"/>
        </w:rPr>
        <w:t xml:space="preserve">materials, namely: pens and pencils; (Paper) notebooks; Bags (made of sustainable materials like cotton, paper or linen); </w:t>
      </w:r>
      <w:r w:rsidR="00A80C73" w:rsidRPr="0097548C">
        <w:rPr>
          <w:rFonts w:ascii="Trebuchet MS" w:hAnsi="Trebuchet MS" w:cs="Trebuchet MS"/>
          <w:color w:val="1F4E79"/>
          <w:sz w:val="22"/>
          <w:szCs w:val="22"/>
          <w:lang w:val="en-GB"/>
        </w:rPr>
        <w:t>c</w:t>
      </w:r>
      <w:r w:rsidR="005409F9" w:rsidRPr="0097548C">
        <w:rPr>
          <w:rFonts w:ascii="Trebuchet MS" w:hAnsi="Trebuchet MS" w:cs="Trebuchet MS"/>
          <w:color w:val="1F4E79"/>
          <w:sz w:val="22"/>
          <w:szCs w:val="22"/>
          <w:lang w:val="en-GB"/>
        </w:rPr>
        <w:t>ardboard conference folders; USB Sticks</w:t>
      </w:r>
      <w:r w:rsidR="00627EB7" w:rsidRPr="0097548C">
        <w:rPr>
          <w:rFonts w:ascii="Trebuchet MS" w:hAnsi="Trebuchet MS" w:cs="Trebuchet MS"/>
          <w:color w:val="1F4E79"/>
          <w:sz w:val="22"/>
          <w:szCs w:val="22"/>
          <w:lang w:val="en-GB"/>
        </w:rPr>
        <w:t>.</w:t>
      </w:r>
      <w:r w:rsidRPr="0097548C">
        <w:rPr>
          <w:rFonts w:ascii="Trebuchet MS" w:hAnsi="Trebuchet MS" w:cs="Trebuchet MS"/>
          <w:color w:val="1F4E79"/>
          <w:sz w:val="22"/>
          <w:szCs w:val="22"/>
          <w:lang w:val="en-GB"/>
        </w:rPr>
        <w:t xml:space="preserve"> The promotional materials imposed by the regulations are eligible, based on the type of the project.</w:t>
      </w:r>
      <w:r w:rsidR="005409F9" w:rsidRPr="0097548C">
        <w:rPr>
          <w:rFonts w:ascii="Trebuchet MS" w:hAnsi="Trebuchet MS" w:cs="Trebuchet MS"/>
          <w:color w:val="1F4E79"/>
          <w:sz w:val="22"/>
          <w:szCs w:val="22"/>
          <w:lang w:val="en-GB"/>
        </w:rPr>
        <w:t xml:space="preserve"> All promotional items must respect the green principle and the quality produced should be reasonable and justified;</w:t>
      </w:r>
    </w:p>
    <w:p w14:paraId="712A0ACF" w14:textId="77777777" w:rsidR="006C1B0A" w:rsidRPr="004A5019" w:rsidRDefault="00233B98" w:rsidP="0043285E">
      <w:pPr>
        <w:numPr>
          <w:ilvl w:val="0"/>
          <w:numId w:val="15"/>
        </w:numPr>
        <w:spacing w:before="120"/>
        <w:ind w:left="714" w:hanging="357"/>
        <w:jc w:val="both"/>
        <w:rPr>
          <w:rFonts w:ascii="Trebuchet MS" w:hAnsi="Trebuchet MS" w:cs="Trebuchet MS"/>
          <w:color w:val="1F4E79"/>
          <w:sz w:val="22"/>
          <w:szCs w:val="22"/>
          <w:lang w:val="en-GB"/>
        </w:rPr>
      </w:pPr>
      <w:r w:rsidRPr="004A5019">
        <w:rPr>
          <w:rFonts w:ascii="Trebuchet MS" w:hAnsi="Trebuchet MS" w:cs="Trebuchet MS"/>
          <w:color w:val="1F4E79"/>
          <w:sz w:val="22"/>
          <w:szCs w:val="22"/>
          <w:lang w:val="en-GB"/>
        </w:rPr>
        <w:t>Promotional material is eligible provided that the costs of a single item remain limited and do not exceed EUR 50 and that it clearly serves the objectives of the project communication strategy</w:t>
      </w:r>
      <w:r w:rsidR="006C1B0A" w:rsidRPr="004A5019">
        <w:rPr>
          <w:rFonts w:ascii="Trebuchet MS" w:hAnsi="Trebuchet MS" w:cs="Trebuchet MS"/>
          <w:color w:val="1F4E79"/>
          <w:sz w:val="22"/>
          <w:szCs w:val="22"/>
          <w:lang w:val="en-GB"/>
        </w:rPr>
        <w:t>;</w:t>
      </w:r>
    </w:p>
    <w:p w14:paraId="74EDA826" w14:textId="77777777" w:rsidR="006C1B0A" w:rsidRPr="004A5019" w:rsidRDefault="00233B98" w:rsidP="0043285E">
      <w:pPr>
        <w:numPr>
          <w:ilvl w:val="0"/>
          <w:numId w:val="15"/>
        </w:numPr>
        <w:spacing w:before="120"/>
        <w:ind w:left="714" w:hanging="357"/>
        <w:jc w:val="both"/>
        <w:rPr>
          <w:rFonts w:ascii="Trebuchet MS" w:hAnsi="Trebuchet MS" w:cs="Trebuchet MS"/>
          <w:color w:val="1F4E79"/>
          <w:sz w:val="22"/>
          <w:szCs w:val="22"/>
          <w:lang w:val="en-GB"/>
        </w:rPr>
      </w:pPr>
      <w:r w:rsidRPr="004A5019">
        <w:rPr>
          <w:rFonts w:ascii="Trebuchet MS" w:hAnsi="Trebuchet MS" w:cs="Trebuchet MS"/>
          <w:color w:val="1F4E79"/>
          <w:sz w:val="22"/>
          <w:szCs w:val="22"/>
          <w:lang w:val="en-GB"/>
        </w:rPr>
        <w:t>Complementary activities to events (e.g. site visits) must have clear and demonstrable project relevance, otherwise costs linked to them are not eligible;</w:t>
      </w:r>
    </w:p>
    <w:p w14:paraId="5C58AADF" w14:textId="77777777" w:rsidR="00133846" w:rsidRPr="004A5019" w:rsidRDefault="00233B98" w:rsidP="0043285E">
      <w:pPr>
        <w:numPr>
          <w:ilvl w:val="0"/>
          <w:numId w:val="15"/>
        </w:numPr>
        <w:spacing w:before="120"/>
        <w:ind w:left="714" w:hanging="357"/>
        <w:jc w:val="both"/>
        <w:rPr>
          <w:rFonts w:ascii="Trebuchet MS" w:hAnsi="Trebuchet MS" w:cs="Trebuchet MS"/>
          <w:color w:val="1F4E79"/>
          <w:sz w:val="22"/>
          <w:szCs w:val="22"/>
          <w:lang w:val="en-GB"/>
        </w:rPr>
      </w:pPr>
      <w:r w:rsidRPr="004A5019">
        <w:rPr>
          <w:rFonts w:ascii="Trebuchet MS" w:hAnsi="Trebuchet MS" w:cs="Trebuchet MS"/>
          <w:color w:val="1F4E79"/>
          <w:sz w:val="22"/>
          <w:szCs w:val="22"/>
          <w:lang w:val="en-GB"/>
        </w:rPr>
        <w:t>Travel and accommodation costs of staff of associated partners, if the case, as well as of external speakers and external participants in project meetings and events must be included under this cost category. Such costs must comply with applicable national and institutional rules about travel and accommodation;</w:t>
      </w:r>
    </w:p>
    <w:p w14:paraId="50A00A99" w14:textId="77777777" w:rsidR="00133846" w:rsidRPr="004A5019" w:rsidRDefault="00233B98" w:rsidP="0043285E">
      <w:pPr>
        <w:numPr>
          <w:ilvl w:val="0"/>
          <w:numId w:val="15"/>
        </w:numPr>
        <w:tabs>
          <w:tab w:val="left" w:pos="851"/>
        </w:tabs>
        <w:spacing w:before="120"/>
        <w:ind w:left="714" w:hanging="357"/>
        <w:jc w:val="both"/>
        <w:rPr>
          <w:rFonts w:ascii="Trebuchet MS" w:hAnsi="Trebuchet MS" w:cs="Trebuchet MS"/>
          <w:color w:val="1F4E79"/>
          <w:sz w:val="22"/>
          <w:szCs w:val="22"/>
          <w:lang w:val="en-GB"/>
        </w:rPr>
      </w:pPr>
      <w:r w:rsidRPr="004A5019">
        <w:rPr>
          <w:rFonts w:ascii="Trebuchet MS" w:hAnsi="Trebuchet MS"/>
          <w:snapToGrid w:val="0"/>
          <w:color w:val="1F4E79"/>
          <w:sz w:val="22"/>
          <w:szCs w:val="22"/>
          <w:lang w:val="en-GB"/>
        </w:rPr>
        <w:t>Sub-contracting between partners of a same project or associated partners, if the case, is not allowed.</w:t>
      </w:r>
    </w:p>
    <w:p w14:paraId="26C36467" w14:textId="77777777" w:rsidR="008C6AD0" w:rsidRPr="004A5019" w:rsidRDefault="008C6AD0" w:rsidP="0043285E">
      <w:pPr>
        <w:numPr>
          <w:ilvl w:val="0"/>
          <w:numId w:val="15"/>
        </w:numPr>
        <w:tabs>
          <w:tab w:val="left" w:pos="851"/>
        </w:tabs>
        <w:spacing w:before="120"/>
        <w:ind w:left="714" w:hanging="357"/>
        <w:jc w:val="both"/>
        <w:rPr>
          <w:rFonts w:ascii="Trebuchet MS" w:hAnsi="Trebuchet MS" w:cs="Trebuchet MS"/>
          <w:color w:val="1F4E79"/>
          <w:sz w:val="22"/>
          <w:szCs w:val="22"/>
          <w:lang w:val="en-GB"/>
        </w:rPr>
      </w:pPr>
      <w:r w:rsidRPr="004A5019">
        <w:rPr>
          <w:rFonts w:ascii="Trebuchet MS" w:hAnsi="Trebuchet MS" w:cs="Trebuchet MS"/>
          <w:color w:val="1F4E79"/>
          <w:sz w:val="22"/>
          <w:szCs w:val="22"/>
          <w:lang w:val="en-GB"/>
        </w:rPr>
        <w:t xml:space="preserve">External expertise and services </w:t>
      </w:r>
      <w:r w:rsidRPr="004A5019">
        <w:rPr>
          <w:rFonts w:ascii="Trebuchet MS" w:hAnsi="Trebuchet MS"/>
          <w:snapToGrid w:val="0"/>
          <w:color w:val="1F4E79"/>
          <w:sz w:val="22"/>
          <w:szCs w:val="22"/>
          <w:lang w:val="en-GB"/>
        </w:rPr>
        <w:t xml:space="preserve">costs </w:t>
      </w:r>
      <w:r w:rsidRPr="004A5019">
        <w:rPr>
          <w:rFonts w:ascii="Trebuchet MS" w:hAnsi="Trebuchet MS"/>
          <w:color w:val="1F4E79"/>
          <w:sz w:val="22"/>
          <w:szCs w:val="22"/>
        </w:rPr>
        <w:t xml:space="preserve">shall be reimbursed </w:t>
      </w:r>
      <w:r w:rsidRPr="004A5019">
        <w:rPr>
          <w:rFonts w:ascii="Trebuchet MS" w:hAnsi="Trebuchet MS"/>
          <w:snapToGrid w:val="0"/>
          <w:color w:val="1F4E79"/>
          <w:sz w:val="22"/>
          <w:szCs w:val="22"/>
          <w:lang w:val="en-GB"/>
        </w:rPr>
        <w:t>on a real costs basis</w:t>
      </w:r>
      <w:r w:rsidR="00800225" w:rsidRPr="004A5019">
        <w:rPr>
          <w:rFonts w:ascii="Trebuchet MS" w:hAnsi="Trebuchet MS"/>
          <w:snapToGrid w:val="0"/>
          <w:color w:val="1F4E79"/>
          <w:sz w:val="22"/>
          <w:szCs w:val="22"/>
          <w:lang w:val="en-GB"/>
        </w:rPr>
        <w:t>.</w:t>
      </w:r>
    </w:p>
    <w:p w14:paraId="30EF8E93" w14:textId="77777777" w:rsidR="00047B53" w:rsidRPr="004A5019" w:rsidRDefault="00AE7A6B" w:rsidP="00C43E41">
      <w:pPr>
        <w:tabs>
          <w:tab w:val="left" w:pos="0"/>
        </w:tabs>
        <w:autoSpaceDE w:val="0"/>
        <w:autoSpaceDN w:val="0"/>
        <w:adjustRightInd w:val="0"/>
        <w:spacing w:before="240" w:after="120"/>
        <w:jc w:val="both"/>
        <w:rPr>
          <w:rFonts w:ascii="Trebuchet MS" w:hAnsi="Trebuchet MS" w:cs="Trebuchet MS"/>
          <w:b/>
          <w:color w:val="1F4E79"/>
          <w:sz w:val="22"/>
          <w:szCs w:val="22"/>
          <w:lang w:val="en-GB"/>
        </w:rPr>
      </w:pPr>
      <w:r w:rsidRPr="004A5019">
        <w:rPr>
          <w:rFonts w:ascii="Trebuchet MS" w:hAnsi="Trebuchet MS" w:cs="Trebuchet MS"/>
          <w:b/>
          <w:color w:val="1F4E79"/>
          <w:sz w:val="22"/>
          <w:szCs w:val="22"/>
          <w:lang w:val="en-GB"/>
        </w:rPr>
        <w:t>Article 13</w:t>
      </w:r>
      <w:r w:rsidR="00047B53" w:rsidRPr="004A5019">
        <w:rPr>
          <w:rFonts w:ascii="Trebuchet MS" w:hAnsi="Trebuchet MS" w:cs="Trebuchet MS"/>
          <w:b/>
          <w:color w:val="1F4E79"/>
          <w:sz w:val="22"/>
          <w:szCs w:val="22"/>
          <w:lang w:val="en-GB"/>
        </w:rPr>
        <w:t>. Equipment costs</w:t>
      </w:r>
    </w:p>
    <w:p w14:paraId="713D57FE" w14:textId="77777777" w:rsidR="00AE7A6B" w:rsidRPr="004A5019" w:rsidRDefault="00047B53" w:rsidP="0043285E">
      <w:pPr>
        <w:numPr>
          <w:ilvl w:val="0"/>
          <w:numId w:val="17"/>
        </w:numPr>
        <w:tabs>
          <w:tab w:val="left" w:pos="0"/>
        </w:tabs>
        <w:spacing w:before="120"/>
        <w:jc w:val="both"/>
        <w:rPr>
          <w:rFonts w:ascii="Trebuchet MS" w:hAnsi="Trebuchet MS"/>
          <w:color w:val="1F4E79"/>
          <w:sz w:val="22"/>
          <w:szCs w:val="22"/>
          <w:lang w:val="en-GB"/>
        </w:rPr>
      </w:pPr>
      <w:r w:rsidRPr="004A5019">
        <w:rPr>
          <w:rFonts w:ascii="Trebuchet MS" w:hAnsi="Trebuchet MS"/>
          <w:color w:val="1F4E79"/>
          <w:sz w:val="22"/>
          <w:szCs w:val="22"/>
          <w:lang w:val="en-GB"/>
        </w:rPr>
        <w:t>Equipment costs refer to equipment purchased, which is used exclusively to carry out the project activities and to infrastructures which are essential for the implementation of the project</w:t>
      </w:r>
      <w:r w:rsidR="004711CC" w:rsidRPr="004A5019">
        <w:rPr>
          <w:rFonts w:ascii="Trebuchet MS" w:hAnsi="Trebuchet MS"/>
          <w:color w:val="1F4E79"/>
          <w:sz w:val="22"/>
          <w:szCs w:val="22"/>
          <w:lang w:val="en-GB"/>
        </w:rPr>
        <w:t>.</w:t>
      </w:r>
    </w:p>
    <w:p w14:paraId="5965AD1F" w14:textId="77777777" w:rsidR="00047B53" w:rsidRPr="004A5019" w:rsidRDefault="00047B53" w:rsidP="0043285E">
      <w:pPr>
        <w:pStyle w:val="ListParagraph"/>
        <w:numPr>
          <w:ilvl w:val="0"/>
          <w:numId w:val="17"/>
        </w:numPr>
        <w:spacing w:before="120" w:after="120" w:line="276" w:lineRule="auto"/>
        <w:contextualSpacing/>
        <w:jc w:val="both"/>
        <w:rPr>
          <w:rFonts w:ascii="Trebuchet MS" w:hAnsi="Trebuchet MS"/>
          <w:color w:val="1F4E79"/>
          <w:sz w:val="22"/>
          <w:szCs w:val="22"/>
          <w:lang w:val="en-GB"/>
        </w:rPr>
      </w:pPr>
      <w:r w:rsidRPr="004A5019">
        <w:rPr>
          <w:rFonts w:ascii="Trebuchet MS" w:hAnsi="Trebuchet MS"/>
          <w:color w:val="1F4E79"/>
          <w:sz w:val="22"/>
          <w:szCs w:val="22"/>
          <w:lang w:val="en-GB"/>
        </w:rPr>
        <w:t>Expenditure for the financing of equipment purchased by the beneficiary of the operation other than those covered by Article 10 shall be limited to the following:</w:t>
      </w:r>
    </w:p>
    <w:p w14:paraId="2CAF7639" w14:textId="77777777" w:rsidR="00047B53" w:rsidRPr="004A5019" w:rsidRDefault="00047B53" w:rsidP="0043285E">
      <w:pPr>
        <w:pStyle w:val="ListParagraph"/>
        <w:numPr>
          <w:ilvl w:val="0"/>
          <w:numId w:val="18"/>
        </w:numPr>
        <w:spacing w:before="120" w:after="120" w:line="276" w:lineRule="auto"/>
        <w:contextualSpacing/>
        <w:jc w:val="both"/>
        <w:rPr>
          <w:rFonts w:ascii="Trebuchet MS" w:hAnsi="Trebuchet MS"/>
          <w:color w:val="1F4E79"/>
          <w:sz w:val="22"/>
          <w:szCs w:val="22"/>
          <w:lang w:val="en-GB"/>
        </w:rPr>
      </w:pPr>
      <w:r w:rsidRPr="004A5019">
        <w:rPr>
          <w:rFonts w:ascii="Trebuchet MS" w:hAnsi="Trebuchet MS"/>
          <w:snapToGrid w:val="0"/>
          <w:color w:val="1F4E79"/>
          <w:sz w:val="22"/>
          <w:szCs w:val="22"/>
          <w:lang w:val="en-GB"/>
        </w:rPr>
        <w:t>office equipment;</w:t>
      </w:r>
    </w:p>
    <w:p w14:paraId="62573B20" w14:textId="77777777" w:rsidR="00047B53" w:rsidRPr="004A5019" w:rsidRDefault="00047B53" w:rsidP="0043285E">
      <w:pPr>
        <w:pStyle w:val="ListParagraph"/>
        <w:numPr>
          <w:ilvl w:val="0"/>
          <w:numId w:val="18"/>
        </w:numPr>
        <w:spacing w:before="120" w:after="120" w:line="276" w:lineRule="auto"/>
        <w:contextualSpacing/>
        <w:jc w:val="both"/>
        <w:rPr>
          <w:rFonts w:ascii="Trebuchet MS" w:hAnsi="Trebuchet MS"/>
          <w:color w:val="1F4E79"/>
          <w:sz w:val="22"/>
          <w:szCs w:val="22"/>
          <w:lang w:val="en-GB"/>
        </w:rPr>
      </w:pPr>
      <w:r w:rsidRPr="004A5019">
        <w:rPr>
          <w:rFonts w:ascii="Trebuchet MS" w:hAnsi="Trebuchet MS"/>
          <w:snapToGrid w:val="0"/>
          <w:color w:val="1F4E79"/>
          <w:sz w:val="22"/>
          <w:szCs w:val="22"/>
          <w:lang w:val="en-GB"/>
        </w:rPr>
        <w:t>IT hardware and software;</w:t>
      </w:r>
    </w:p>
    <w:p w14:paraId="47843356" w14:textId="77777777" w:rsidR="00047B53" w:rsidRPr="004A5019" w:rsidRDefault="00047B53" w:rsidP="0043285E">
      <w:pPr>
        <w:pStyle w:val="ListParagraph"/>
        <w:numPr>
          <w:ilvl w:val="0"/>
          <w:numId w:val="18"/>
        </w:numPr>
        <w:spacing w:before="120" w:after="120" w:line="276" w:lineRule="auto"/>
        <w:contextualSpacing/>
        <w:jc w:val="both"/>
        <w:rPr>
          <w:rFonts w:ascii="Trebuchet MS" w:hAnsi="Trebuchet MS"/>
          <w:color w:val="1F4E79"/>
          <w:sz w:val="22"/>
          <w:szCs w:val="22"/>
          <w:lang w:val="en-GB"/>
        </w:rPr>
      </w:pPr>
      <w:r w:rsidRPr="004A5019">
        <w:rPr>
          <w:rFonts w:ascii="Trebuchet MS" w:hAnsi="Trebuchet MS"/>
          <w:snapToGrid w:val="0"/>
          <w:color w:val="1F4E79"/>
          <w:sz w:val="22"/>
          <w:szCs w:val="22"/>
          <w:lang w:val="en-GB"/>
        </w:rPr>
        <w:t>furniture and fittings;</w:t>
      </w:r>
    </w:p>
    <w:p w14:paraId="35B2359F" w14:textId="77777777" w:rsidR="00047B53" w:rsidRPr="004A5019" w:rsidRDefault="00047B53" w:rsidP="0043285E">
      <w:pPr>
        <w:pStyle w:val="ListParagraph"/>
        <w:numPr>
          <w:ilvl w:val="0"/>
          <w:numId w:val="18"/>
        </w:numPr>
        <w:spacing w:before="120" w:after="120" w:line="276" w:lineRule="auto"/>
        <w:contextualSpacing/>
        <w:jc w:val="both"/>
        <w:rPr>
          <w:rFonts w:ascii="Trebuchet MS" w:hAnsi="Trebuchet MS"/>
          <w:color w:val="1F4E79"/>
          <w:sz w:val="22"/>
          <w:szCs w:val="22"/>
          <w:lang w:val="en-GB"/>
        </w:rPr>
      </w:pPr>
      <w:r w:rsidRPr="004A5019">
        <w:rPr>
          <w:rFonts w:ascii="Trebuchet MS" w:hAnsi="Trebuchet MS"/>
          <w:snapToGrid w:val="0"/>
          <w:color w:val="1F4E79"/>
          <w:sz w:val="22"/>
          <w:szCs w:val="22"/>
          <w:lang w:val="en-GB"/>
        </w:rPr>
        <w:lastRenderedPageBreak/>
        <w:t>laboratory equipment;</w:t>
      </w:r>
    </w:p>
    <w:p w14:paraId="10BFE444" w14:textId="77777777" w:rsidR="00047B53" w:rsidRPr="004A5019" w:rsidRDefault="00047B53" w:rsidP="0043285E">
      <w:pPr>
        <w:pStyle w:val="ListParagraph"/>
        <w:numPr>
          <w:ilvl w:val="0"/>
          <w:numId w:val="18"/>
        </w:numPr>
        <w:spacing w:before="120" w:after="120" w:line="276" w:lineRule="auto"/>
        <w:contextualSpacing/>
        <w:jc w:val="both"/>
        <w:rPr>
          <w:rFonts w:ascii="Trebuchet MS" w:hAnsi="Trebuchet MS"/>
          <w:color w:val="1F4E79"/>
          <w:sz w:val="22"/>
          <w:szCs w:val="22"/>
          <w:lang w:val="en-GB"/>
        </w:rPr>
      </w:pPr>
      <w:r w:rsidRPr="004A5019">
        <w:rPr>
          <w:rFonts w:ascii="Trebuchet MS" w:hAnsi="Trebuchet MS"/>
          <w:snapToGrid w:val="0"/>
          <w:color w:val="1F4E79"/>
          <w:sz w:val="22"/>
          <w:szCs w:val="22"/>
          <w:lang w:val="en-GB"/>
        </w:rPr>
        <w:t>machines and instruments;</w:t>
      </w:r>
    </w:p>
    <w:p w14:paraId="2CA4AD77" w14:textId="77777777" w:rsidR="00047B53" w:rsidRPr="004A5019" w:rsidRDefault="00047B53" w:rsidP="0043285E">
      <w:pPr>
        <w:pStyle w:val="ListParagraph"/>
        <w:numPr>
          <w:ilvl w:val="0"/>
          <w:numId w:val="18"/>
        </w:numPr>
        <w:spacing w:before="120" w:after="120" w:line="276" w:lineRule="auto"/>
        <w:contextualSpacing/>
        <w:jc w:val="both"/>
        <w:rPr>
          <w:rFonts w:ascii="Trebuchet MS" w:hAnsi="Trebuchet MS"/>
          <w:color w:val="1F4E79"/>
          <w:sz w:val="22"/>
          <w:szCs w:val="22"/>
          <w:lang w:val="en-GB"/>
        </w:rPr>
      </w:pPr>
      <w:r w:rsidRPr="004A5019">
        <w:rPr>
          <w:rFonts w:ascii="Trebuchet MS" w:hAnsi="Trebuchet MS"/>
          <w:snapToGrid w:val="0"/>
          <w:color w:val="1F4E79"/>
          <w:sz w:val="22"/>
          <w:szCs w:val="22"/>
          <w:lang w:val="en-GB"/>
        </w:rPr>
        <w:t>tools or devices;</w:t>
      </w:r>
    </w:p>
    <w:p w14:paraId="449F80E0" w14:textId="77777777" w:rsidR="00047B53" w:rsidRPr="004A5019" w:rsidRDefault="00047B53" w:rsidP="0043285E">
      <w:pPr>
        <w:pStyle w:val="ListParagraph"/>
        <w:numPr>
          <w:ilvl w:val="0"/>
          <w:numId w:val="18"/>
        </w:numPr>
        <w:spacing w:before="120" w:after="120" w:line="276" w:lineRule="auto"/>
        <w:contextualSpacing/>
        <w:jc w:val="both"/>
        <w:rPr>
          <w:rFonts w:ascii="Trebuchet MS" w:hAnsi="Trebuchet MS"/>
          <w:color w:val="1F4E79"/>
          <w:sz w:val="22"/>
          <w:szCs w:val="22"/>
          <w:lang w:val="en-GB"/>
        </w:rPr>
      </w:pPr>
      <w:r w:rsidRPr="004A5019">
        <w:rPr>
          <w:rFonts w:ascii="Trebuchet MS" w:hAnsi="Trebuchet MS"/>
          <w:snapToGrid w:val="0"/>
          <w:color w:val="1F4E79"/>
          <w:sz w:val="22"/>
          <w:szCs w:val="22"/>
          <w:lang w:val="en-GB"/>
        </w:rPr>
        <w:t>vehicles;</w:t>
      </w:r>
    </w:p>
    <w:p w14:paraId="361FF8A1" w14:textId="77777777" w:rsidR="00047B53" w:rsidRPr="004A5019" w:rsidRDefault="00047B53" w:rsidP="0043285E">
      <w:pPr>
        <w:pStyle w:val="ListParagraph"/>
        <w:numPr>
          <w:ilvl w:val="0"/>
          <w:numId w:val="18"/>
        </w:numPr>
        <w:spacing w:before="120" w:after="120" w:line="276" w:lineRule="auto"/>
        <w:contextualSpacing/>
        <w:jc w:val="both"/>
        <w:rPr>
          <w:rFonts w:ascii="Trebuchet MS" w:hAnsi="Trebuchet MS"/>
          <w:color w:val="1F4E79"/>
          <w:sz w:val="22"/>
          <w:szCs w:val="22"/>
          <w:lang w:val="en-GB"/>
        </w:rPr>
      </w:pPr>
      <w:r w:rsidRPr="004A5019">
        <w:rPr>
          <w:rFonts w:ascii="Trebuchet MS" w:hAnsi="Trebuchet MS"/>
          <w:snapToGrid w:val="0"/>
          <w:color w:val="1F4E79"/>
          <w:sz w:val="22"/>
          <w:szCs w:val="22"/>
          <w:lang w:val="en-GB"/>
        </w:rPr>
        <w:t>other specific equipment needed for operations.</w:t>
      </w:r>
    </w:p>
    <w:p w14:paraId="0391F782" w14:textId="77777777" w:rsidR="008C6AD0" w:rsidRPr="004A5019" w:rsidRDefault="008C6AD0" w:rsidP="0043285E">
      <w:pPr>
        <w:numPr>
          <w:ilvl w:val="0"/>
          <w:numId w:val="17"/>
        </w:numPr>
        <w:tabs>
          <w:tab w:val="left" w:pos="0"/>
        </w:tabs>
        <w:spacing w:before="120"/>
        <w:jc w:val="both"/>
        <w:rPr>
          <w:rFonts w:ascii="Trebuchet MS" w:hAnsi="Trebuchet MS" w:cs="Trebuchet MS"/>
          <w:color w:val="1F4E79"/>
          <w:sz w:val="22"/>
          <w:szCs w:val="22"/>
          <w:lang w:val="en-GB"/>
        </w:rPr>
      </w:pPr>
      <w:r w:rsidRPr="004A5019">
        <w:rPr>
          <w:rFonts w:ascii="Trebuchet MS" w:hAnsi="Trebuchet MS"/>
          <w:color w:val="1F4E79"/>
          <w:sz w:val="22"/>
          <w:szCs w:val="22"/>
          <w:lang w:val="en-GB"/>
        </w:rPr>
        <w:t xml:space="preserve">Equipment must be clearly linked to the project and </w:t>
      </w:r>
      <w:r w:rsidRPr="004A5019">
        <w:rPr>
          <w:rFonts w:ascii="Trebuchet MS" w:hAnsi="Trebuchet MS"/>
          <w:b/>
          <w:color w:val="1F4E79"/>
          <w:sz w:val="22"/>
          <w:szCs w:val="22"/>
          <w:lang w:val="en-GB"/>
        </w:rPr>
        <w:t>be essential</w:t>
      </w:r>
      <w:r w:rsidRPr="004A5019">
        <w:rPr>
          <w:rFonts w:ascii="Trebuchet MS" w:hAnsi="Trebuchet MS"/>
          <w:color w:val="1F4E79"/>
          <w:sz w:val="22"/>
          <w:szCs w:val="22"/>
          <w:lang w:val="en-GB"/>
        </w:rPr>
        <w:t xml:space="preserve"> for its effective implementation;</w:t>
      </w:r>
    </w:p>
    <w:p w14:paraId="11D0E07D" w14:textId="77777777" w:rsidR="0098541D" w:rsidRPr="004A5019" w:rsidRDefault="0098541D" w:rsidP="0043285E">
      <w:pPr>
        <w:numPr>
          <w:ilvl w:val="0"/>
          <w:numId w:val="17"/>
        </w:numPr>
        <w:tabs>
          <w:tab w:val="left" w:pos="0"/>
        </w:tabs>
        <w:spacing w:before="120"/>
        <w:jc w:val="both"/>
        <w:rPr>
          <w:rFonts w:ascii="Trebuchet MS" w:hAnsi="Trebuchet MS"/>
          <w:color w:val="1F4E79"/>
          <w:sz w:val="22"/>
          <w:szCs w:val="22"/>
          <w:lang w:val="en-GB"/>
        </w:rPr>
      </w:pPr>
      <w:r w:rsidRPr="004A5019">
        <w:rPr>
          <w:rFonts w:ascii="Trebuchet MS" w:hAnsi="Trebuchet MS"/>
          <w:color w:val="1F4E79"/>
          <w:sz w:val="22"/>
          <w:szCs w:val="22"/>
          <w:lang w:val="en-GB"/>
        </w:rPr>
        <w:t>Equipment</w:t>
      </w:r>
      <w:r w:rsidR="002F329B" w:rsidRPr="004A5019">
        <w:rPr>
          <w:rFonts w:ascii="Trebuchet MS" w:hAnsi="Trebuchet MS"/>
          <w:color w:val="1F4E79"/>
          <w:sz w:val="22"/>
          <w:szCs w:val="22"/>
          <w:lang w:val="en-GB"/>
        </w:rPr>
        <w:t xml:space="preserve"> items</w:t>
      </w:r>
      <w:r w:rsidRPr="004A5019">
        <w:rPr>
          <w:rFonts w:ascii="Trebuchet MS" w:hAnsi="Trebuchet MS"/>
          <w:color w:val="1F4E79"/>
          <w:sz w:val="22"/>
          <w:szCs w:val="22"/>
          <w:lang w:val="en-GB"/>
        </w:rPr>
        <w:t xml:space="preserve"> for general office</w:t>
      </w:r>
      <w:r w:rsidR="008C6AD0" w:rsidRPr="004A5019">
        <w:rPr>
          <w:rFonts w:ascii="Trebuchet MS" w:hAnsi="Trebuchet MS"/>
          <w:color w:val="1F4E79"/>
          <w:sz w:val="22"/>
          <w:szCs w:val="22"/>
          <w:lang w:val="en-GB"/>
        </w:rPr>
        <w:t xml:space="preserve"> use for which the exclusive use in the project cannot be demonstrated </w:t>
      </w:r>
      <w:r w:rsidRPr="004A5019">
        <w:rPr>
          <w:rFonts w:ascii="Trebuchet MS" w:hAnsi="Trebuchet MS"/>
          <w:color w:val="1F4E79"/>
          <w:sz w:val="22"/>
          <w:szCs w:val="22"/>
          <w:lang w:val="en-GB"/>
        </w:rPr>
        <w:t xml:space="preserve">fall under Office and administrative costs listed in Article 10 and </w:t>
      </w:r>
      <w:r w:rsidRPr="004A5019">
        <w:rPr>
          <w:rFonts w:ascii="Trebuchet MS" w:hAnsi="Trebuchet MS"/>
          <w:color w:val="1F4E79"/>
          <w:sz w:val="22"/>
          <w:szCs w:val="22"/>
        </w:rPr>
        <w:t>shall be reimbursed as a flat rate of 15% of eligible direct staff costs of the operation</w:t>
      </w:r>
      <w:r w:rsidRPr="004A5019">
        <w:rPr>
          <w:rFonts w:ascii="Trebuchet MS" w:hAnsi="Trebuchet MS"/>
          <w:color w:val="1F4E79"/>
          <w:sz w:val="22"/>
          <w:szCs w:val="22"/>
          <w:lang w:val="en-GB"/>
        </w:rPr>
        <w:t>.</w:t>
      </w:r>
    </w:p>
    <w:p w14:paraId="1540DFF9" w14:textId="77777777" w:rsidR="008C6AD0" w:rsidRPr="004A5019" w:rsidRDefault="008C6AD0" w:rsidP="0043285E">
      <w:pPr>
        <w:numPr>
          <w:ilvl w:val="0"/>
          <w:numId w:val="17"/>
        </w:numPr>
        <w:tabs>
          <w:tab w:val="left" w:pos="0"/>
        </w:tabs>
        <w:spacing w:before="120"/>
        <w:jc w:val="both"/>
        <w:rPr>
          <w:rFonts w:ascii="Trebuchet MS" w:hAnsi="Trebuchet MS" w:cs="Trebuchet MS"/>
          <w:color w:val="1F4E79"/>
          <w:sz w:val="22"/>
          <w:szCs w:val="22"/>
          <w:lang w:val="en-GB"/>
        </w:rPr>
      </w:pPr>
      <w:r w:rsidRPr="004A5019">
        <w:rPr>
          <w:rFonts w:ascii="Trebuchet MS" w:hAnsi="Trebuchet MS" w:cs="Trebuchet MS"/>
          <w:color w:val="1F4E79"/>
          <w:sz w:val="22"/>
          <w:szCs w:val="22"/>
          <w:lang w:val="en-GB"/>
        </w:rPr>
        <w:t>Equipment items have to be duly described in the application form</w:t>
      </w:r>
    </w:p>
    <w:p w14:paraId="74DD0EA6" w14:textId="77777777" w:rsidR="008C6AD0" w:rsidRPr="004A5019" w:rsidRDefault="008C6AD0" w:rsidP="0043285E">
      <w:pPr>
        <w:numPr>
          <w:ilvl w:val="0"/>
          <w:numId w:val="17"/>
        </w:numPr>
        <w:tabs>
          <w:tab w:val="left" w:pos="0"/>
        </w:tabs>
        <w:spacing w:before="120"/>
        <w:jc w:val="both"/>
        <w:rPr>
          <w:rFonts w:ascii="Trebuchet MS" w:hAnsi="Trebuchet MS" w:cs="Trebuchet MS"/>
          <w:color w:val="1F4E79"/>
          <w:sz w:val="22"/>
          <w:szCs w:val="22"/>
          <w:lang w:val="en-GB"/>
        </w:rPr>
      </w:pPr>
      <w:r w:rsidRPr="004A5019">
        <w:rPr>
          <w:rFonts w:ascii="Trebuchet MS" w:hAnsi="Trebuchet MS" w:cs="Trebuchet MS"/>
          <w:color w:val="1F4E79"/>
          <w:sz w:val="22"/>
          <w:szCs w:val="22"/>
          <w:lang w:val="en-GB"/>
        </w:rPr>
        <w:t xml:space="preserve">Equipment expenditure cannot refer to items already financed by other EU or third party funds; </w:t>
      </w:r>
    </w:p>
    <w:p w14:paraId="5F87E32D" w14:textId="77777777" w:rsidR="00E61A3E" w:rsidRPr="004A5019" w:rsidRDefault="008C6AD0" w:rsidP="0043285E">
      <w:pPr>
        <w:numPr>
          <w:ilvl w:val="0"/>
          <w:numId w:val="17"/>
        </w:numPr>
        <w:tabs>
          <w:tab w:val="left" w:pos="0"/>
        </w:tabs>
        <w:spacing w:before="120"/>
        <w:jc w:val="both"/>
        <w:rPr>
          <w:rFonts w:ascii="Trebuchet MS" w:hAnsi="Trebuchet MS" w:cs="Trebuchet MS"/>
          <w:color w:val="1F4E79"/>
          <w:sz w:val="22"/>
          <w:szCs w:val="22"/>
          <w:lang w:val="en-GB"/>
        </w:rPr>
      </w:pPr>
      <w:r w:rsidRPr="004A5019">
        <w:rPr>
          <w:rFonts w:ascii="Trebuchet MS" w:hAnsi="Trebuchet MS" w:cs="Trebuchet MS"/>
          <w:color w:val="1F4E79"/>
          <w:sz w:val="22"/>
          <w:szCs w:val="22"/>
          <w:lang w:val="en-GB"/>
        </w:rPr>
        <w:t>Where applicable, equipment items must respe</w:t>
      </w:r>
      <w:r w:rsidR="00E61A3E" w:rsidRPr="004A5019">
        <w:rPr>
          <w:rFonts w:ascii="Trebuchet MS" w:hAnsi="Trebuchet MS" w:cs="Trebuchet MS"/>
          <w:color w:val="1F4E79"/>
          <w:sz w:val="22"/>
          <w:szCs w:val="22"/>
          <w:lang w:val="en-GB"/>
        </w:rPr>
        <w:t>ct the relevant branding rules</w:t>
      </w:r>
      <w:r w:rsidRPr="004A5019">
        <w:rPr>
          <w:rFonts w:ascii="Trebuchet MS" w:hAnsi="Trebuchet MS" w:cs="Trebuchet MS"/>
          <w:color w:val="1F4E79"/>
          <w:sz w:val="22"/>
          <w:szCs w:val="22"/>
          <w:lang w:val="en-GB"/>
        </w:rPr>
        <w:t>;</w:t>
      </w:r>
    </w:p>
    <w:p w14:paraId="7B230C56" w14:textId="77777777" w:rsidR="00E61A3E" w:rsidRPr="004A5019" w:rsidRDefault="008C6AD0" w:rsidP="0043285E">
      <w:pPr>
        <w:numPr>
          <w:ilvl w:val="0"/>
          <w:numId w:val="17"/>
        </w:numPr>
        <w:tabs>
          <w:tab w:val="left" w:pos="0"/>
        </w:tabs>
        <w:spacing w:before="120"/>
        <w:jc w:val="both"/>
        <w:rPr>
          <w:rFonts w:ascii="Trebuchet MS" w:hAnsi="Trebuchet MS" w:cs="Trebuchet MS"/>
          <w:color w:val="1F4E79"/>
          <w:sz w:val="22"/>
          <w:szCs w:val="22"/>
          <w:lang w:val="en-GB"/>
        </w:rPr>
      </w:pPr>
      <w:r w:rsidRPr="004A5019">
        <w:rPr>
          <w:rFonts w:ascii="Trebuchet MS" w:hAnsi="Trebuchet MS" w:cs="Trebuchet MS"/>
          <w:color w:val="1F4E79"/>
          <w:sz w:val="22"/>
          <w:szCs w:val="22"/>
          <w:lang w:val="en-GB"/>
        </w:rPr>
        <w:t>Equipment cannot be purchased from another project partner or associated partner, if the case, within the project.</w:t>
      </w:r>
    </w:p>
    <w:p w14:paraId="0A9D3B07" w14:textId="77777777" w:rsidR="00F50236" w:rsidRPr="0097548C" w:rsidRDefault="008C6AD0" w:rsidP="0043285E">
      <w:pPr>
        <w:numPr>
          <w:ilvl w:val="0"/>
          <w:numId w:val="17"/>
        </w:numPr>
        <w:tabs>
          <w:tab w:val="left" w:pos="0"/>
        </w:tabs>
        <w:spacing w:before="120"/>
        <w:jc w:val="both"/>
        <w:rPr>
          <w:rFonts w:ascii="Trebuchet MS" w:hAnsi="Trebuchet MS" w:cs="Trebuchet MS"/>
          <w:color w:val="1F4E79"/>
          <w:sz w:val="22"/>
          <w:szCs w:val="22"/>
          <w:lang w:val="en-GB"/>
        </w:rPr>
      </w:pPr>
      <w:r w:rsidRPr="0097548C">
        <w:rPr>
          <w:rFonts w:ascii="Trebuchet MS" w:hAnsi="Trebuchet MS" w:cs="Trebuchet MS"/>
          <w:color w:val="1F4E79"/>
          <w:sz w:val="22"/>
          <w:szCs w:val="22"/>
          <w:lang w:val="en-GB"/>
        </w:rPr>
        <w:t>The procurement of hybrid or electric vehicles is supported. Only in dully-justified cases, the purchase of vehicles using fossil fuel is accepted (this justification should be detailed in the application form).</w:t>
      </w:r>
    </w:p>
    <w:p w14:paraId="4CEE31B7" w14:textId="77777777" w:rsidR="006D475D" w:rsidRPr="004A5019" w:rsidRDefault="008C6AD0" w:rsidP="0043285E">
      <w:pPr>
        <w:numPr>
          <w:ilvl w:val="0"/>
          <w:numId w:val="17"/>
        </w:numPr>
        <w:tabs>
          <w:tab w:val="left" w:pos="0"/>
          <w:tab w:val="left" w:pos="851"/>
        </w:tabs>
        <w:spacing w:before="120"/>
        <w:jc w:val="both"/>
        <w:rPr>
          <w:rFonts w:ascii="Trebuchet MS" w:hAnsi="Trebuchet MS" w:cs="Trebuchet MS"/>
          <w:color w:val="1F4E79"/>
          <w:sz w:val="22"/>
          <w:szCs w:val="22"/>
          <w:lang w:val="en-GB"/>
        </w:rPr>
      </w:pPr>
      <w:r w:rsidRPr="0097548C">
        <w:rPr>
          <w:rFonts w:ascii="Trebuchet MS" w:hAnsi="Trebuchet MS"/>
          <w:snapToGrid w:val="0"/>
          <w:color w:val="1F4E79"/>
          <w:sz w:val="22"/>
          <w:szCs w:val="22"/>
          <w:lang w:val="en-GB"/>
        </w:rPr>
        <w:t xml:space="preserve">Equipment costs </w:t>
      </w:r>
      <w:r w:rsidRPr="0097548C">
        <w:rPr>
          <w:rFonts w:ascii="Trebuchet MS" w:hAnsi="Trebuchet MS"/>
          <w:color w:val="1F4E79"/>
          <w:sz w:val="22"/>
          <w:szCs w:val="22"/>
        </w:rPr>
        <w:t>shall be reimbursed</w:t>
      </w:r>
      <w:r w:rsidRPr="004A5019">
        <w:rPr>
          <w:rFonts w:ascii="Trebuchet MS" w:hAnsi="Trebuchet MS"/>
          <w:color w:val="1F4E79"/>
          <w:sz w:val="22"/>
          <w:szCs w:val="22"/>
        </w:rPr>
        <w:t xml:space="preserve"> </w:t>
      </w:r>
      <w:r w:rsidRPr="004A5019">
        <w:rPr>
          <w:rFonts w:ascii="Trebuchet MS" w:hAnsi="Trebuchet MS"/>
          <w:snapToGrid w:val="0"/>
          <w:color w:val="1F4E79"/>
          <w:sz w:val="22"/>
          <w:szCs w:val="22"/>
          <w:lang w:val="en-GB"/>
        </w:rPr>
        <w:t>on a real costs basis</w:t>
      </w:r>
      <w:r w:rsidR="000E0FEA" w:rsidRPr="004A5019">
        <w:rPr>
          <w:rFonts w:ascii="Trebuchet MS" w:hAnsi="Trebuchet MS"/>
          <w:snapToGrid w:val="0"/>
          <w:color w:val="1F4E79"/>
          <w:sz w:val="22"/>
          <w:szCs w:val="22"/>
          <w:lang w:val="en-GB"/>
        </w:rPr>
        <w:t>.</w:t>
      </w:r>
    </w:p>
    <w:p w14:paraId="68F61FD5" w14:textId="77777777" w:rsidR="006D475D" w:rsidRPr="004A5019" w:rsidRDefault="006D475D" w:rsidP="008C3917">
      <w:pPr>
        <w:tabs>
          <w:tab w:val="left" w:pos="0"/>
        </w:tabs>
        <w:spacing w:before="240" w:after="120"/>
        <w:jc w:val="both"/>
        <w:rPr>
          <w:rFonts w:ascii="Trebuchet MS" w:hAnsi="Trebuchet MS" w:cs="Trebuchet MS"/>
          <w:b/>
          <w:color w:val="1F4E79"/>
          <w:sz w:val="22"/>
          <w:szCs w:val="22"/>
          <w:lang w:val="en-GB"/>
        </w:rPr>
      </w:pPr>
      <w:r w:rsidRPr="004A5019">
        <w:rPr>
          <w:rFonts w:ascii="Trebuchet MS" w:hAnsi="Trebuchet MS" w:cs="Trebuchet MS"/>
          <w:b/>
          <w:color w:val="1F4E79"/>
          <w:sz w:val="22"/>
          <w:szCs w:val="22"/>
          <w:lang w:val="en-GB"/>
        </w:rPr>
        <w:t xml:space="preserve">Article 14. </w:t>
      </w:r>
      <w:r w:rsidRPr="004A5019">
        <w:rPr>
          <w:rFonts w:ascii="Trebuchet MS" w:hAnsi="Trebuchet MS"/>
          <w:b/>
          <w:color w:val="1F4E79"/>
          <w:sz w:val="22"/>
          <w:szCs w:val="22"/>
          <w:lang w:val="en-GB"/>
        </w:rPr>
        <w:t>Infrastructure and works</w:t>
      </w:r>
    </w:p>
    <w:p w14:paraId="45300CDD" w14:textId="77777777" w:rsidR="00B075B7" w:rsidRPr="004A5019" w:rsidRDefault="00B075B7" w:rsidP="0043285E">
      <w:pPr>
        <w:pStyle w:val="ListParagraph"/>
        <w:numPr>
          <w:ilvl w:val="0"/>
          <w:numId w:val="19"/>
        </w:numPr>
        <w:spacing w:before="120" w:after="120" w:line="276" w:lineRule="auto"/>
        <w:ind w:hanging="357"/>
        <w:contextualSpacing/>
        <w:jc w:val="both"/>
        <w:rPr>
          <w:rFonts w:ascii="Trebuchet MS" w:hAnsi="Trebuchet MS"/>
          <w:color w:val="1F4E79"/>
          <w:sz w:val="22"/>
          <w:szCs w:val="22"/>
          <w:lang w:val="en-GB"/>
        </w:rPr>
      </w:pPr>
      <w:r w:rsidRPr="004A5019">
        <w:rPr>
          <w:rFonts w:ascii="Trebuchet MS" w:hAnsi="Trebuchet MS"/>
          <w:color w:val="1F4E79"/>
          <w:sz w:val="22"/>
          <w:szCs w:val="22"/>
          <w:lang w:val="en-GB"/>
        </w:rPr>
        <w:t xml:space="preserve">The costs for infrastructure and works shall be limited to the following elements </w:t>
      </w:r>
    </w:p>
    <w:p w14:paraId="5F6A55FF" w14:textId="77777777" w:rsidR="00B075B7" w:rsidRPr="004A5019" w:rsidRDefault="00B075B7" w:rsidP="0043285E">
      <w:pPr>
        <w:pStyle w:val="ListParagraph"/>
        <w:numPr>
          <w:ilvl w:val="0"/>
          <w:numId w:val="20"/>
        </w:numPr>
        <w:tabs>
          <w:tab w:val="left" w:pos="709"/>
        </w:tabs>
        <w:spacing w:before="120" w:after="120" w:line="288" w:lineRule="auto"/>
        <w:ind w:hanging="357"/>
        <w:jc w:val="both"/>
        <w:rPr>
          <w:rFonts w:ascii="Trebuchet MS" w:hAnsi="Trebuchet MS"/>
          <w:color w:val="1F4E79"/>
          <w:sz w:val="22"/>
          <w:szCs w:val="22"/>
          <w:lang w:val="en-GB"/>
        </w:rPr>
      </w:pPr>
      <w:r w:rsidRPr="004A5019">
        <w:rPr>
          <w:rFonts w:ascii="Trebuchet MS" w:hAnsi="Trebuchet MS"/>
          <w:color w:val="1F4E79"/>
          <w:sz w:val="22"/>
          <w:szCs w:val="22"/>
          <w:lang w:val="en-GB"/>
        </w:rPr>
        <w:t xml:space="preserve">Purchase of land for an amount </w:t>
      </w:r>
      <w:r w:rsidRPr="004A5019">
        <w:rPr>
          <w:rFonts w:ascii="Trebuchet MS" w:hAnsi="Trebuchet MS"/>
          <w:b/>
          <w:color w:val="1F4E79"/>
          <w:sz w:val="22"/>
          <w:szCs w:val="22"/>
          <w:lang w:val="en-GB"/>
        </w:rPr>
        <w:t>not</w:t>
      </w:r>
      <w:r w:rsidR="00ED56BC" w:rsidRPr="004A5019">
        <w:rPr>
          <w:rFonts w:ascii="Trebuchet MS" w:hAnsi="Trebuchet MS"/>
          <w:color w:val="1F4E79"/>
          <w:sz w:val="22"/>
          <w:szCs w:val="22"/>
          <w:lang w:val="en-GB"/>
        </w:rPr>
        <w:t xml:space="preserve"> exceeding 10</w:t>
      </w:r>
      <w:r w:rsidRPr="004A5019">
        <w:rPr>
          <w:rFonts w:ascii="Trebuchet MS" w:hAnsi="Trebuchet MS"/>
          <w:color w:val="1F4E79"/>
          <w:sz w:val="22"/>
          <w:szCs w:val="22"/>
          <w:lang w:val="en-GB"/>
        </w:rPr>
        <w:t>% of the total eligible expenditure for the operation concerned; for derelict sites and for those formerly in industrial use which comprise buildings, that</w:t>
      </w:r>
      <w:r w:rsidR="00ED56BC" w:rsidRPr="004A5019">
        <w:rPr>
          <w:rFonts w:ascii="Trebuchet MS" w:hAnsi="Trebuchet MS"/>
          <w:color w:val="1F4E79"/>
          <w:sz w:val="22"/>
          <w:szCs w:val="22"/>
          <w:lang w:val="en-GB"/>
        </w:rPr>
        <w:t xml:space="preserve"> limit shall be increased to 15</w:t>
      </w:r>
      <w:r w:rsidRPr="004A5019">
        <w:rPr>
          <w:rFonts w:ascii="Trebuchet MS" w:hAnsi="Trebuchet MS"/>
          <w:color w:val="1F4E79"/>
          <w:sz w:val="22"/>
          <w:szCs w:val="22"/>
          <w:lang w:val="en-GB"/>
        </w:rPr>
        <w:t>%;</w:t>
      </w:r>
    </w:p>
    <w:p w14:paraId="0D71FE11" w14:textId="77777777" w:rsidR="00B075B7" w:rsidRPr="004A5019" w:rsidRDefault="00B075B7" w:rsidP="0043285E">
      <w:pPr>
        <w:pStyle w:val="ListParagraph"/>
        <w:numPr>
          <w:ilvl w:val="0"/>
          <w:numId w:val="20"/>
        </w:numPr>
        <w:tabs>
          <w:tab w:val="left" w:pos="709"/>
        </w:tabs>
        <w:spacing w:before="120" w:after="120" w:line="288" w:lineRule="auto"/>
        <w:ind w:hanging="357"/>
        <w:jc w:val="both"/>
        <w:rPr>
          <w:rFonts w:ascii="Trebuchet MS" w:hAnsi="Trebuchet MS"/>
          <w:color w:val="1F4E79"/>
          <w:sz w:val="22"/>
          <w:szCs w:val="22"/>
          <w:lang w:val="en-GB"/>
        </w:rPr>
      </w:pPr>
      <w:r w:rsidRPr="004A5019">
        <w:rPr>
          <w:rFonts w:ascii="Trebuchet MS" w:hAnsi="Trebuchet MS"/>
          <w:color w:val="1F4E79"/>
          <w:sz w:val="22"/>
          <w:szCs w:val="22"/>
          <w:lang w:val="en-GB"/>
        </w:rPr>
        <w:t xml:space="preserve">Building permits; </w:t>
      </w:r>
    </w:p>
    <w:p w14:paraId="692C9143" w14:textId="77777777" w:rsidR="00B075B7" w:rsidRPr="004A5019" w:rsidRDefault="00B075B7" w:rsidP="0043285E">
      <w:pPr>
        <w:pStyle w:val="ListParagraph"/>
        <w:numPr>
          <w:ilvl w:val="0"/>
          <w:numId w:val="20"/>
        </w:numPr>
        <w:tabs>
          <w:tab w:val="left" w:pos="709"/>
        </w:tabs>
        <w:spacing w:before="120" w:after="120" w:line="288" w:lineRule="auto"/>
        <w:ind w:hanging="357"/>
        <w:jc w:val="both"/>
        <w:rPr>
          <w:rFonts w:ascii="Trebuchet MS" w:hAnsi="Trebuchet MS"/>
          <w:color w:val="1F4E79"/>
          <w:sz w:val="22"/>
          <w:szCs w:val="22"/>
          <w:lang w:val="en-GB"/>
        </w:rPr>
      </w:pPr>
      <w:r w:rsidRPr="004A5019">
        <w:rPr>
          <w:rFonts w:ascii="Trebuchet MS" w:hAnsi="Trebuchet MS"/>
          <w:color w:val="1F4E79"/>
          <w:sz w:val="22"/>
          <w:szCs w:val="22"/>
          <w:lang w:val="en-GB"/>
        </w:rPr>
        <w:t xml:space="preserve">Building material; </w:t>
      </w:r>
    </w:p>
    <w:p w14:paraId="6DCDB54B" w14:textId="77777777" w:rsidR="00B075B7" w:rsidRPr="004A5019" w:rsidRDefault="00B075B7" w:rsidP="0043285E">
      <w:pPr>
        <w:pStyle w:val="ListParagraph"/>
        <w:numPr>
          <w:ilvl w:val="0"/>
          <w:numId w:val="20"/>
        </w:numPr>
        <w:tabs>
          <w:tab w:val="left" w:pos="709"/>
        </w:tabs>
        <w:spacing w:before="120" w:after="120" w:line="288" w:lineRule="auto"/>
        <w:ind w:hanging="357"/>
        <w:jc w:val="both"/>
        <w:rPr>
          <w:rFonts w:ascii="Trebuchet MS" w:hAnsi="Trebuchet MS"/>
          <w:color w:val="1F4E79"/>
          <w:sz w:val="22"/>
          <w:szCs w:val="22"/>
          <w:lang w:val="en-GB"/>
        </w:rPr>
      </w:pPr>
      <w:r w:rsidRPr="004A5019">
        <w:rPr>
          <w:rFonts w:ascii="Trebuchet MS" w:hAnsi="Trebuchet MS"/>
          <w:color w:val="1F4E79"/>
          <w:sz w:val="22"/>
          <w:szCs w:val="22"/>
          <w:lang w:val="en-GB"/>
        </w:rPr>
        <w:t>Labour;</w:t>
      </w:r>
    </w:p>
    <w:p w14:paraId="07B0E50D" w14:textId="77777777" w:rsidR="00B075B7" w:rsidRDefault="00B075B7" w:rsidP="0043285E">
      <w:pPr>
        <w:pStyle w:val="ListParagraph"/>
        <w:numPr>
          <w:ilvl w:val="0"/>
          <w:numId w:val="20"/>
        </w:numPr>
        <w:tabs>
          <w:tab w:val="left" w:pos="709"/>
        </w:tabs>
        <w:spacing w:before="120" w:after="120" w:line="288" w:lineRule="auto"/>
        <w:ind w:hanging="357"/>
        <w:jc w:val="both"/>
        <w:rPr>
          <w:rFonts w:ascii="Trebuchet MS" w:hAnsi="Trebuchet MS"/>
          <w:color w:val="1F4E79"/>
          <w:sz w:val="22"/>
          <w:szCs w:val="22"/>
          <w:lang w:val="en-GB"/>
        </w:rPr>
      </w:pPr>
      <w:r w:rsidRPr="004A5019">
        <w:rPr>
          <w:rFonts w:ascii="Trebuchet MS" w:hAnsi="Trebuchet MS"/>
          <w:color w:val="1F4E79"/>
          <w:sz w:val="22"/>
          <w:szCs w:val="22"/>
          <w:lang w:val="en-GB"/>
        </w:rPr>
        <w:t xml:space="preserve">Specialised interventions (e.g. soil remediation, mine-clearing). </w:t>
      </w:r>
    </w:p>
    <w:p w14:paraId="284FDF4B" w14:textId="77777777" w:rsidR="0050625A" w:rsidRPr="004A5019" w:rsidRDefault="00B81691" w:rsidP="0043285E">
      <w:pPr>
        <w:pStyle w:val="ListParagraph"/>
        <w:numPr>
          <w:ilvl w:val="0"/>
          <w:numId w:val="19"/>
        </w:numPr>
        <w:spacing w:before="120" w:after="120"/>
        <w:ind w:hanging="357"/>
        <w:jc w:val="both"/>
        <w:rPr>
          <w:rFonts w:ascii="Trebuchet MS" w:hAnsi="Trebuchet MS"/>
          <w:color w:val="1F4E79"/>
          <w:sz w:val="22"/>
          <w:szCs w:val="22"/>
          <w:lang w:val="en-GB"/>
        </w:rPr>
      </w:pPr>
      <w:r w:rsidRPr="004A5019">
        <w:rPr>
          <w:rFonts w:ascii="Trebuchet MS" w:hAnsi="Trebuchet MS"/>
          <w:color w:val="1F4E79"/>
          <w:sz w:val="22"/>
          <w:szCs w:val="22"/>
          <w:lang w:val="en-GB"/>
        </w:rPr>
        <w:t>Costs of feasibility studies, environmental impact assessments, architectural or engineering activities and any other expertise needed for the realization of the infrastructure, shall be allocated under the cost category “External expertise and services costs”</w:t>
      </w:r>
      <w:r w:rsidR="00F24F58" w:rsidRPr="004A5019">
        <w:rPr>
          <w:rFonts w:ascii="Trebuchet MS" w:hAnsi="Trebuchet MS"/>
          <w:color w:val="1F4E79"/>
          <w:sz w:val="22"/>
          <w:szCs w:val="22"/>
          <w:lang w:val="en-GB"/>
        </w:rPr>
        <w:t>, listed in Article 12</w:t>
      </w:r>
      <w:r w:rsidRPr="004A5019">
        <w:rPr>
          <w:rFonts w:ascii="Trebuchet MS" w:hAnsi="Trebuchet MS"/>
          <w:color w:val="1F4E79"/>
          <w:sz w:val="22"/>
          <w:szCs w:val="22"/>
          <w:lang w:val="en-GB"/>
        </w:rPr>
        <w:t xml:space="preserve"> (if drafted with the support of external suppliers).</w:t>
      </w:r>
    </w:p>
    <w:p w14:paraId="1B36033C" w14:textId="77777777" w:rsidR="0050625A" w:rsidRPr="004A5019" w:rsidRDefault="0050625A" w:rsidP="0043285E">
      <w:pPr>
        <w:pStyle w:val="ListParagraph"/>
        <w:numPr>
          <w:ilvl w:val="0"/>
          <w:numId w:val="19"/>
        </w:numPr>
        <w:spacing w:before="120" w:after="120"/>
        <w:ind w:hanging="357"/>
        <w:jc w:val="both"/>
        <w:rPr>
          <w:rFonts w:ascii="Trebuchet MS" w:hAnsi="Trebuchet MS"/>
          <w:color w:val="1F4E79"/>
          <w:sz w:val="22"/>
          <w:szCs w:val="22"/>
          <w:lang w:val="en-GB"/>
        </w:rPr>
      </w:pPr>
      <w:r w:rsidRPr="004A5019">
        <w:rPr>
          <w:rFonts w:ascii="Trebuchet MS" w:hAnsi="Trebuchet MS"/>
          <w:color w:val="1F4E79"/>
          <w:sz w:val="22"/>
          <w:szCs w:val="22"/>
          <w:lang w:val="en-GB"/>
        </w:rPr>
        <w:t xml:space="preserve">Costs must be clearly linked to the project and be essential for its effective implementation; </w:t>
      </w:r>
    </w:p>
    <w:p w14:paraId="0226D71D" w14:textId="77777777" w:rsidR="0050625A" w:rsidRPr="004A5019" w:rsidRDefault="0050625A" w:rsidP="0043285E">
      <w:pPr>
        <w:pStyle w:val="ListParagraph"/>
        <w:numPr>
          <w:ilvl w:val="0"/>
          <w:numId w:val="19"/>
        </w:numPr>
        <w:spacing w:before="120" w:after="120"/>
        <w:ind w:hanging="357"/>
        <w:jc w:val="both"/>
        <w:rPr>
          <w:rFonts w:ascii="Trebuchet MS" w:hAnsi="Trebuchet MS"/>
          <w:color w:val="1F4E79"/>
          <w:sz w:val="22"/>
          <w:szCs w:val="22"/>
          <w:lang w:val="en-GB"/>
        </w:rPr>
      </w:pPr>
      <w:r w:rsidRPr="004A5019">
        <w:rPr>
          <w:rFonts w:ascii="Trebuchet MS" w:hAnsi="Trebuchet MS"/>
          <w:color w:val="1F4E79"/>
          <w:sz w:val="22"/>
          <w:szCs w:val="22"/>
          <w:lang w:val="en-GB"/>
        </w:rPr>
        <w:t xml:space="preserve">Costs for infrastructure and works have to be in line with the approved application form; </w:t>
      </w:r>
    </w:p>
    <w:p w14:paraId="27171D7F" w14:textId="77777777" w:rsidR="0050625A" w:rsidRPr="004A5019" w:rsidRDefault="0050625A" w:rsidP="0043285E">
      <w:pPr>
        <w:pStyle w:val="ListParagraph"/>
        <w:numPr>
          <w:ilvl w:val="0"/>
          <w:numId w:val="19"/>
        </w:numPr>
        <w:spacing w:before="120" w:after="120"/>
        <w:ind w:hanging="357"/>
        <w:jc w:val="both"/>
        <w:rPr>
          <w:rFonts w:ascii="Trebuchet MS" w:hAnsi="Trebuchet MS"/>
          <w:color w:val="1F4E79"/>
          <w:sz w:val="22"/>
          <w:szCs w:val="22"/>
          <w:lang w:val="en-GB"/>
        </w:rPr>
      </w:pPr>
      <w:r w:rsidRPr="004A5019">
        <w:rPr>
          <w:rFonts w:ascii="Trebuchet MS" w:hAnsi="Trebuchet MS"/>
          <w:color w:val="1F4E79"/>
          <w:sz w:val="22"/>
          <w:szCs w:val="22"/>
          <w:lang w:val="en-GB"/>
        </w:rPr>
        <w:t xml:space="preserve">Full costs for infrastructure and works within the project are eligible; </w:t>
      </w:r>
    </w:p>
    <w:p w14:paraId="3CD36030" w14:textId="77777777" w:rsidR="0050625A" w:rsidRPr="004A5019" w:rsidRDefault="0050625A" w:rsidP="0043285E">
      <w:pPr>
        <w:pStyle w:val="ListParagraph"/>
        <w:numPr>
          <w:ilvl w:val="0"/>
          <w:numId w:val="19"/>
        </w:numPr>
        <w:spacing w:before="120" w:after="120"/>
        <w:ind w:hanging="357"/>
        <w:jc w:val="both"/>
        <w:rPr>
          <w:rFonts w:ascii="Trebuchet MS" w:hAnsi="Trebuchet MS"/>
          <w:color w:val="1F4E79"/>
          <w:sz w:val="22"/>
          <w:szCs w:val="22"/>
          <w:lang w:val="en-GB"/>
        </w:rPr>
      </w:pPr>
      <w:r w:rsidRPr="004A5019">
        <w:rPr>
          <w:rFonts w:ascii="Trebuchet MS" w:hAnsi="Trebuchet MS"/>
          <w:color w:val="1F4E79"/>
          <w:sz w:val="22"/>
          <w:szCs w:val="22"/>
          <w:lang w:val="en-GB"/>
        </w:rPr>
        <w:t xml:space="preserve">Eligibility of costs is subject to the respect of EU, national and programme procurement rules; </w:t>
      </w:r>
    </w:p>
    <w:p w14:paraId="141DF41F" w14:textId="77777777" w:rsidR="0050625A" w:rsidRPr="004A5019" w:rsidRDefault="0050625A" w:rsidP="0043285E">
      <w:pPr>
        <w:pStyle w:val="ListParagraph"/>
        <w:numPr>
          <w:ilvl w:val="0"/>
          <w:numId w:val="19"/>
        </w:numPr>
        <w:spacing w:before="120" w:after="120"/>
        <w:ind w:hanging="357"/>
        <w:jc w:val="both"/>
        <w:rPr>
          <w:rFonts w:ascii="Trebuchet MS" w:hAnsi="Trebuchet MS"/>
          <w:color w:val="1F4E79"/>
          <w:sz w:val="22"/>
          <w:szCs w:val="22"/>
          <w:lang w:val="en-GB"/>
        </w:rPr>
      </w:pPr>
      <w:r w:rsidRPr="004A5019">
        <w:rPr>
          <w:rFonts w:ascii="Trebuchet MS" w:hAnsi="Trebuchet MS"/>
          <w:color w:val="1F4E79"/>
          <w:sz w:val="22"/>
          <w:szCs w:val="22"/>
          <w:lang w:val="en-GB"/>
        </w:rPr>
        <w:t xml:space="preserve">Depending on the nature of the intervention to be carried out, all compulsory requirements set by EU and national legislation on environmental policies, must be fulfilled; </w:t>
      </w:r>
    </w:p>
    <w:p w14:paraId="5C2B0534" w14:textId="77777777" w:rsidR="0050625A" w:rsidRPr="004A5019" w:rsidRDefault="0050625A" w:rsidP="0043285E">
      <w:pPr>
        <w:pStyle w:val="ListParagraph"/>
        <w:numPr>
          <w:ilvl w:val="0"/>
          <w:numId w:val="19"/>
        </w:numPr>
        <w:spacing w:before="120" w:after="120"/>
        <w:ind w:hanging="357"/>
        <w:jc w:val="both"/>
        <w:rPr>
          <w:rFonts w:ascii="Trebuchet MS" w:hAnsi="Trebuchet MS"/>
          <w:color w:val="1F4E79"/>
          <w:sz w:val="22"/>
          <w:szCs w:val="22"/>
          <w:lang w:val="en-GB"/>
        </w:rPr>
      </w:pPr>
      <w:r w:rsidRPr="004A5019">
        <w:rPr>
          <w:rFonts w:ascii="Trebuchet MS" w:hAnsi="Trebuchet MS"/>
          <w:color w:val="1F4E79"/>
          <w:sz w:val="22"/>
          <w:szCs w:val="22"/>
          <w:lang w:val="en-GB"/>
        </w:rPr>
        <w:lastRenderedPageBreak/>
        <w:t xml:space="preserve">Where applicable, works must have been previously authorised by national/regional/local authorities (building permits); </w:t>
      </w:r>
    </w:p>
    <w:p w14:paraId="797381B7" w14:textId="77777777" w:rsidR="0050625A" w:rsidRPr="004A5019" w:rsidRDefault="0050625A" w:rsidP="0043285E">
      <w:pPr>
        <w:pStyle w:val="ListParagraph"/>
        <w:numPr>
          <w:ilvl w:val="0"/>
          <w:numId w:val="19"/>
        </w:numPr>
        <w:spacing w:before="120" w:after="120"/>
        <w:ind w:hanging="357"/>
        <w:jc w:val="both"/>
        <w:rPr>
          <w:rFonts w:ascii="Trebuchet MS" w:hAnsi="Trebuchet MS"/>
          <w:color w:val="1F4E79"/>
          <w:sz w:val="22"/>
          <w:szCs w:val="22"/>
          <w:lang w:val="en-GB"/>
        </w:rPr>
      </w:pPr>
      <w:r w:rsidRPr="004A5019">
        <w:rPr>
          <w:rFonts w:ascii="Trebuchet MS" w:hAnsi="Trebuchet MS"/>
          <w:color w:val="1F4E79"/>
          <w:sz w:val="22"/>
          <w:szCs w:val="22"/>
          <w:lang w:val="en-GB"/>
        </w:rPr>
        <w:t xml:space="preserve">The land or buildings where works will be carried out must be in the ownership of the partner or the partner must have set in place long-term legally binding arrangements in order to fulfil durability (including maintenance) requirements; </w:t>
      </w:r>
    </w:p>
    <w:p w14:paraId="5F4443E9" w14:textId="77777777" w:rsidR="00390511" w:rsidRPr="004A5019" w:rsidRDefault="0050625A" w:rsidP="0043285E">
      <w:pPr>
        <w:pStyle w:val="ListParagraph"/>
        <w:numPr>
          <w:ilvl w:val="0"/>
          <w:numId w:val="19"/>
        </w:numPr>
        <w:tabs>
          <w:tab w:val="left" w:pos="851"/>
        </w:tabs>
        <w:spacing w:before="120" w:after="120"/>
        <w:ind w:hanging="357"/>
        <w:jc w:val="both"/>
        <w:rPr>
          <w:rFonts w:ascii="Trebuchet MS" w:hAnsi="Trebuchet MS"/>
          <w:color w:val="1F4E79"/>
          <w:sz w:val="22"/>
          <w:szCs w:val="22"/>
          <w:lang w:val="en-GB"/>
        </w:rPr>
      </w:pPr>
      <w:r w:rsidRPr="004A5019">
        <w:rPr>
          <w:rFonts w:ascii="Trebuchet MS" w:hAnsi="Trebuchet MS"/>
          <w:color w:val="1F4E79"/>
          <w:sz w:val="22"/>
          <w:szCs w:val="22"/>
          <w:lang w:val="en-GB"/>
        </w:rPr>
        <w:t xml:space="preserve">Infrastructure and works expenditure cannot refer to items financed by other EU or third party subsidies and must not be already depreciated; </w:t>
      </w:r>
    </w:p>
    <w:p w14:paraId="58EE3A5A" w14:textId="77777777" w:rsidR="00390511" w:rsidRPr="004A5019" w:rsidRDefault="0050625A" w:rsidP="0043285E">
      <w:pPr>
        <w:pStyle w:val="ListParagraph"/>
        <w:numPr>
          <w:ilvl w:val="0"/>
          <w:numId w:val="19"/>
        </w:numPr>
        <w:tabs>
          <w:tab w:val="left" w:pos="851"/>
        </w:tabs>
        <w:spacing w:before="120" w:after="120"/>
        <w:ind w:hanging="357"/>
        <w:jc w:val="both"/>
        <w:rPr>
          <w:rFonts w:ascii="Trebuchet MS" w:hAnsi="Trebuchet MS"/>
          <w:color w:val="1F4E79"/>
          <w:sz w:val="22"/>
          <w:szCs w:val="22"/>
          <w:lang w:val="en-GB"/>
        </w:rPr>
      </w:pPr>
      <w:r w:rsidRPr="004A5019">
        <w:rPr>
          <w:rFonts w:ascii="Trebuchet MS" w:hAnsi="Trebuchet MS"/>
          <w:color w:val="1F4E79"/>
          <w:sz w:val="22"/>
          <w:szCs w:val="22"/>
          <w:lang w:val="en-GB"/>
        </w:rPr>
        <w:t>In case of infrastructure and works that are part of a larger infrastructural investment funded through other sources, the part financed by the Interreg VI-A Romania-Bulgaria project must be clearly and univocally identifiable;</w:t>
      </w:r>
    </w:p>
    <w:p w14:paraId="46418070" w14:textId="77777777" w:rsidR="00390511" w:rsidRPr="004A5019" w:rsidRDefault="0050625A" w:rsidP="0043285E">
      <w:pPr>
        <w:pStyle w:val="ListParagraph"/>
        <w:numPr>
          <w:ilvl w:val="0"/>
          <w:numId w:val="19"/>
        </w:numPr>
        <w:tabs>
          <w:tab w:val="left" w:pos="851"/>
        </w:tabs>
        <w:spacing w:before="120" w:after="120"/>
        <w:ind w:hanging="357"/>
        <w:jc w:val="both"/>
        <w:rPr>
          <w:rFonts w:ascii="Trebuchet MS" w:hAnsi="Trebuchet MS"/>
          <w:color w:val="1F4E79"/>
          <w:sz w:val="22"/>
          <w:szCs w:val="22"/>
          <w:lang w:val="en-GB"/>
        </w:rPr>
      </w:pPr>
      <w:r w:rsidRPr="004A5019">
        <w:rPr>
          <w:rFonts w:ascii="Trebuchet MS" w:hAnsi="Trebuchet MS"/>
          <w:color w:val="1F4E79"/>
          <w:sz w:val="22"/>
          <w:szCs w:val="22"/>
          <w:lang w:val="en-GB"/>
        </w:rPr>
        <w:t xml:space="preserve">Where applicable, infrastructure and works realised by the project must respect the </w:t>
      </w:r>
      <w:r w:rsidR="002B0C65" w:rsidRPr="004A5019">
        <w:rPr>
          <w:rFonts w:ascii="Trebuchet MS" w:hAnsi="Trebuchet MS"/>
          <w:color w:val="1F4E79"/>
          <w:sz w:val="22"/>
          <w:szCs w:val="22"/>
          <w:lang w:val="en-GB"/>
        </w:rPr>
        <w:t>relevant branding requirements</w:t>
      </w:r>
      <w:r w:rsidRPr="004A5019">
        <w:rPr>
          <w:rFonts w:ascii="Trebuchet MS" w:hAnsi="Trebuchet MS"/>
          <w:color w:val="1F4E79"/>
          <w:sz w:val="22"/>
          <w:szCs w:val="22"/>
          <w:lang w:val="en-GB"/>
        </w:rPr>
        <w:t>;</w:t>
      </w:r>
    </w:p>
    <w:p w14:paraId="59E9182F" w14:textId="77777777" w:rsidR="00390511" w:rsidRPr="004A5019" w:rsidRDefault="0050625A" w:rsidP="0043285E">
      <w:pPr>
        <w:pStyle w:val="ListParagraph"/>
        <w:numPr>
          <w:ilvl w:val="0"/>
          <w:numId w:val="19"/>
        </w:numPr>
        <w:tabs>
          <w:tab w:val="left" w:pos="851"/>
        </w:tabs>
        <w:spacing w:before="120" w:after="120"/>
        <w:ind w:hanging="357"/>
        <w:jc w:val="both"/>
        <w:rPr>
          <w:rFonts w:ascii="Trebuchet MS" w:hAnsi="Trebuchet MS"/>
          <w:color w:val="1F4E79"/>
          <w:sz w:val="22"/>
          <w:szCs w:val="22"/>
          <w:lang w:val="en-GB"/>
        </w:rPr>
      </w:pPr>
      <w:r w:rsidRPr="004A5019">
        <w:rPr>
          <w:rFonts w:ascii="Trebuchet MS" w:hAnsi="Trebuchet MS"/>
          <w:color w:val="1F4E79"/>
          <w:sz w:val="22"/>
          <w:szCs w:val="22"/>
          <w:lang w:val="en-GB"/>
        </w:rPr>
        <w:t xml:space="preserve">Requirements concerning </w:t>
      </w:r>
      <w:r w:rsidRPr="0097548C">
        <w:rPr>
          <w:rFonts w:ascii="Trebuchet MS" w:hAnsi="Trebuchet MS"/>
          <w:color w:val="1F4E79"/>
          <w:sz w:val="22"/>
          <w:szCs w:val="22"/>
          <w:lang w:val="en-GB"/>
        </w:rPr>
        <w:t>durability, including ownership and maintenance, as provided by art.65 from EU Reg. 1060/2021, apply to infrastr</w:t>
      </w:r>
      <w:r w:rsidR="00390511" w:rsidRPr="0097548C">
        <w:rPr>
          <w:rFonts w:ascii="Trebuchet MS" w:hAnsi="Trebuchet MS"/>
          <w:color w:val="1F4E79"/>
          <w:sz w:val="22"/>
          <w:szCs w:val="22"/>
          <w:lang w:val="en-GB"/>
        </w:rPr>
        <w:t>ucture</w:t>
      </w:r>
      <w:r w:rsidR="00390511" w:rsidRPr="004A5019">
        <w:rPr>
          <w:rFonts w:ascii="Trebuchet MS" w:hAnsi="Trebuchet MS"/>
          <w:color w:val="1F4E79"/>
          <w:sz w:val="22"/>
          <w:szCs w:val="22"/>
          <w:lang w:val="en-GB"/>
        </w:rPr>
        <w:t xml:space="preserve"> funded within a project;</w:t>
      </w:r>
    </w:p>
    <w:p w14:paraId="5E51B88F" w14:textId="77777777" w:rsidR="0050625A" w:rsidRPr="004A5019" w:rsidRDefault="0050625A" w:rsidP="0043285E">
      <w:pPr>
        <w:pStyle w:val="ListParagraph"/>
        <w:numPr>
          <w:ilvl w:val="0"/>
          <w:numId w:val="19"/>
        </w:numPr>
        <w:tabs>
          <w:tab w:val="left" w:pos="851"/>
        </w:tabs>
        <w:spacing w:before="120" w:after="120"/>
        <w:ind w:hanging="357"/>
        <w:jc w:val="both"/>
        <w:rPr>
          <w:rFonts w:ascii="Trebuchet MS" w:hAnsi="Trebuchet MS"/>
          <w:color w:val="1F4E79"/>
          <w:sz w:val="22"/>
          <w:szCs w:val="22"/>
          <w:lang w:val="en-GB"/>
        </w:rPr>
      </w:pPr>
      <w:r w:rsidRPr="004A5019">
        <w:rPr>
          <w:rFonts w:ascii="Trebuchet MS" w:hAnsi="Trebuchet MS"/>
          <w:color w:val="1F4E79"/>
          <w:sz w:val="22"/>
          <w:szCs w:val="22"/>
          <w:lang w:val="en-GB"/>
        </w:rPr>
        <w:t>Investments in infrastructure which have an expected lifespan of at least 5 years shall</w:t>
      </w:r>
      <w:r w:rsidR="009B7308" w:rsidRPr="004A5019">
        <w:rPr>
          <w:rFonts w:ascii="Trebuchet MS" w:hAnsi="Trebuchet MS"/>
          <w:color w:val="1F4E79"/>
          <w:sz w:val="22"/>
          <w:szCs w:val="22"/>
          <w:lang w:val="en-GB"/>
        </w:rPr>
        <w:t xml:space="preserve"> ensure their climate proofing.</w:t>
      </w:r>
    </w:p>
    <w:p w14:paraId="00223EF6" w14:textId="77777777" w:rsidR="00746167" w:rsidRPr="004A5019" w:rsidRDefault="00091A6D" w:rsidP="00072DC2">
      <w:pPr>
        <w:spacing w:before="240" w:after="120"/>
        <w:rPr>
          <w:rFonts w:ascii="Trebuchet MS" w:hAnsi="Trebuchet MS"/>
          <w:b/>
          <w:color w:val="1F4E79"/>
          <w:sz w:val="22"/>
          <w:szCs w:val="22"/>
          <w:lang w:val="en-GB"/>
        </w:rPr>
      </w:pPr>
      <w:r w:rsidRPr="004A5019">
        <w:rPr>
          <w:rFonts w:ascii="Trebuchet MS" w:hAnsi="Trebuchet MS" w:cs="Trebuchet MS"/>
          <w:b/>
          <w:color w:val="1F4E79"/>
          <w:sz w:val="22"/>
          <w:szCs w:val="22"/>
          <w:lang w:val="en-GB"/>
        </w:rPr>
        <w:t xml:space="preserve">Article </w:t>
      </w:r>
      <w:r w:rsidR="00746167" w:rsidRPr="004A5019">
        <w:rPr>
          <w:rFonts w:ascii="Trebuchet MS" w:hAnsi="Trebuchet MS" w:cs="Trebuchet MS"/>
          <w:b/>
          <w:color w:val="1F4E79"/>
          <w:sz w:val="22"/>
          <w:szCs w:val="22"/>
          <w:lang w:val="en-GB"/>
        </w:rPr>
        <w:t xml:space="preserve">15 </w:t>
      </w:r>
      <w:r w:rsidR="00746167" w:rsidRPr="004A5019">
        <w:rPr>
          <w:rFonts w:ascii="Trebuchet MS" w:hAnsi="Trebuchet MS"/>
          <w:b/>
          <w:color w:val="1F4E79"/>
          <w:sz w:val="22"/>
          <w:szCs w:val="22"/>
          <w:lang w:val="en-GB"/>
        </w:rPr>
        <w:t>Project closure costs</w:t>
      </w:r>
    </w:p>
    <w:p w14:paraId="3CD62441" w14:textId="77777777" w:rsidR="006D475D" w:rsidRPr="0097548C" w:rsidRDefault="00E5062C" w:rsidP="0043285E">
      <w:pPr>
        <w:numPr>
          <w:ilvl w:val="0"/>
          <w:numId w:val="21"/>
        </w:numPr>
        <w:spacing w:before="120"/>
        <w:jc w:val="both"/>
        <w:rPr>
          <w:rFonts w:ascii="Trebuchet MS" w:hAnsi="Trebuchet MS" w:cs="Trebuchet MS"/>
          <w:color w:val="1F4E79"/>
          <w:sz w:val="22"/>
          <w:szCs w:val="22"/>
          <w:lang w:val="en-GB"/>
        </w:rPr>
      </w:pPr>
      <w:r w:rsidRPr="004A5019">
        <w:rPr>
          <w:rFonts w:ascii="Trebuchet MS" w:hAnsi="Trebuchet MS" w:cs="Trebuchet MS"/>
          <w:color w:val="1F4E79"/>
          <w:sz w:val="22"/>
          <w:szCs w:val="22"/>
          <w:lang w:val="en-GB"/>
        </w:rPr>
        <w:t>Closure costs shall be reimbursed on basis of a lump sum as decided at Programme level</w:t>
      </w:r>
      <w:r w:rsidR="009D15BC" w:rsidRPr="004A5019">
        <w:rPr>
          <w:rFonts w:ascii="Trebuchet MS" w:hAnsi="Trebuchet MS"/>
          <w:snapToGrid w:val="0"/>
          <w:color w:val="1F4E79"/>
          <w:sz w:val="22"/>
          <w:szCs w:val="22"/>
          <w:lang w:val="en-GB"/>
        </w:rPr>
        <w:t xml:space="preserve"> for all projects </w:t>
      </w:r>
      <w:r w:rsidR="009D15BC" w:rsidRPr="0097548C">
        <w:rPr>
          <w:rFonts w:ascii="Trebuchet MS" w:hAnsi="Trebuchet MS"/>
          <w:snapToGrid w:val="0"/>
          <w:color w:val="1F4E79"/>
          <w:sz w:val="22"/>
          <w:szCs w:val="22"/>
          <w:lang w:val="en-GB"/>
        </w:rPr>
        <w:t>financed via the Interreg VI-A Romania-Bulgaria Programme</w:t>
      </w:r>
      <w:r w:rsidR="0074391A" w:rsidRPr="0097548C">
        <w:rPr>
          <w:rFonts w:ascii="Trebuchet MS" w:hAnsi="Trebuchet MS" w:cs="Trebuchet MS"/>
          <w:color w:val="1F4E79"/>
          <w:sz w:val="22"/>
          <w:szCs w:val="22"/>
          <w:lang w:val="en-GB"/>
        </w:rPr>
        <w:t>;</w:t>
      </w:r>
    </w:p>
    <w:p w14:paraId="7E39B6FD" w14:textId="77777777" w:rsidR="00395F2D" w:rsidRPr="0097548C" w:rsidRDefault="0074391A" w:rsidP="0043285E">
      <w:pPr>
        <w:numPr>
          <w:ilvl w:val="0"/>
          <w:numId w:val="21"/>
        </w:numPr>
        <w:spacing w:before="120"/>
        <w:jc w:val="both"/>
        <w:rPr>
          <w:rFonts w:ascii="Trebuchet MS" w:hAnsi="Trebuchet MS" w:cs="Trebuchet MS"/>
          <w:color w:val="1F4E79"/>
          <w:sz w:val="22"/>
          <w:szCs w:val="22"/>
          <w:lang w:val="en-GB"/>
        </w:rPr>
      </w:pPr>
      <w:r w:rsidRPr="0097548C">
        <w:rPr>
          <w:rFonts w:ascii="Trebuchet MS" w:hAnsi="Trebuchet MS"/>
          <w:b/>
          <w:snapToGrid w:val="0"/>
          <w:color w:val="1F4E79"/>
          <w:sz w:val="22"/>
          <w:szCs w:val="22"/>
          <w:lang w:val="en-GB"/>
        </w:rPr>
        <w:t xml:space="preserve">Lump sum for project closure of </w:t>
      </w:r>
      <w:r w:rsidR="00A62ECE">
        <w:rPr>
          <w:rFonts w:ascii="Trebuchet MS" w:hAnsi="Trebuchet MS"/>
          <w:b/>
          <w:snapToGrid w:val="0"/>
          <w:color w:val="1F4E79"/>
          <w:sz w:val="22"/>
          <w:szCs w:val="22"/>
          <w:lang w:val="en-GB"/>
        </w:rPr>
        <w:t>6,5</w:t>
      </w:r>
      <w:r w:rsidR="003C540B">
        <w:rPr>
          <w:rFonts w:ascii="Trebuchet MS" w:hAnsi="Trebuchet MS"/>
          <w:b/>
          <w:snapToGrid w:val="0"/>
          <w:color w:val="1F4E79"/>
          <w:sz w:val="22"/>
          <w:szCs w:val="22"/>
          <w:lang w:val="en-GB"/>
        </w:rPr>
        <w:t xml:space="preserve">00 </w:t>
      </w:r>
      <w:r w:rsidRPr="0097548C">
        <w:rPr>
          <w:rFonts w:ascii="Trebuchet MS" w:hAnsi="Trebuchet MS"/>
          <w:b/>
          <w:snapToGrid w:val="0"/>
          <w:color w:val="1F4E79"/>
          <w:sz w:val="22"/>
          <w:szCs w:val="22"/>
          <w:lang w:val="en-GB"/>
        </w:rPr>
        <w:t>Euro</w:t>
      </w:r>
      <w:r w:rsidRPr="0097548C">
        <w:rPr>
          <w:rFonts w:ascii="Trebuchet MS" w:hAnsi="Trebuchet MS"/>
          <w:snapToGrid w:val="0"/>
          <w:color w:val="1F4E79"/>
          <w:sz w:val="22"/>
          <w:szCs w:val="22"/>
          <w:lang w:val="en-GB"/>
        </w:rPr>
        <w:t xml:space="preserve"> </w:t>
      </w:r>
      <w:r w:rsidR="00C0390B">
        <w:rPr>
          <w:rFonts w:ascii="Trebuchet MS" w:hAnsi="Trebuchet MS"/>
          <w:snapToGrid w:val="0"/>
          <w:color w:val="1F4E79"/>
          <w:sz w:val="22"/>
          <w:szCs w:val="22"/>
          <w:lang w:val="en-GB"/>
        </w:rPr>
        <w:t xml:space="preserve">(total value) </w:t>
      </w:r>
      <w:r w:rsidRPr="0097548C">
        <w:rPr>
          <w:rFonts w:ascii="Trebuchet MS" w:hAnsi="Trebuchet MS"/>
          <w:snapToGrid w:val="0"/>
          <w:color w:val="1F4E79"/>
          <w:sz w:val="22"/>
          <w:szCs w:val="22"/>
          <w:lang w:val="en-GB"/>
        </w:rPr>
        <w:t>will be paid out by the Programme;</w:t>
      </w:r>
    </w:p>
    <w:p w14:paraId="072E0D49" w14:textId="77777777" w:rsidR="0074391A" w:rsidRPr="0097548C" w:rsidRDefault="00204319" w:rsidP="0043285E">
      <w:pPr>
        <w:numPr>
          <w:ilvl w:val="0"/>
          <w:numId w:val="21"/>
        </w:numPr>
        <w:spacing w:before="120"/>
        <w:jc w:val="both"/>
        <w:rPr>
          <w:rFonts w:ascii="Trebuchet MS" w:hAnsi="Trebuchet MS" w:cs="Trebuchet MS"/>
          <w:color w:val="1F4E79"/>
          <w:sz w:val="22"/>
          <w:szCs w:val="22"/>
          <w:lang w:val="en-GB"/>
        </w:rPr>
      </w:pPr>
      <w:r w:rsidRPr="00204319">
        <w:rPr>
          <w:rFonts w:ascii="Trebuchet MS" w:hAnsi="Trebuchet MS"/>
          <w:b/>
          <w:snapToGrid w:val="0"/>
          <w:color w:val="1F4E79"/>
          <w:sz w:val="22"/>
          <w:szCs w:val="22"/>
          <w:lang w:val="en-GB"/>
        </w:rPr>
        <w:t>Reimbursement of the granted lump sum for project closure is linked to the delivery of predefined output</w:t>
      </w:r>
      <w:r w:rsidRPr="00204319">
        <w:rPr>
          <w:rFonts w:ascii="Trebuchet MS" w:hAnsi="Trebuchet MS"/>
          <w:snapToGrid w:val="0"/>
          <w:color w:val="1F4E79"/>
          <w:sz w:val="22"/>
          <w:szCs w:val="22"/>
          <w:lang w:val="en-GB"/>
        </w:rPr>
        <w:t xml:space="preserve"> (final </w:t>
      </w:r>
      <w:r w:rsidR="003C540B">
        <w:rPr>
          <w:rFonts w:ascii="Trebuchet MS" w:hAnsi="Trebuchet MS"/>
          <w:snapToGrid w:val="0"/>
          <w:color w:val="1F4E79"/>
          <w:sz w:val="22"/>
          <w:szCs w:val="22"/>
          <w:lang w:val="en-GB"/>
        </w:rPr>
        <w:t>project</w:t>
      </w:r>
      <w:r w:rsidRPr="00204319">
        <w:rPr>
          <w:rFonts w:ascii="Trebuchet MS" w:hAnsi="Trebuchet MS"/>
          <w:snapToGrid w:val="0"/>
          <w:color w:val="1F4E79"/>
          <w:sz w:val="22"/>
          <w:szCs w:val="22"/>
          <w:lang w:val="en-GB"/>
        </w:rPr>
        <w:t xml:space="preserve"> report approved)</w:t>
      </w:r>
      <w:r w:rsidR="00AF5421">
        <w:rPr>
          <w:rFonts w:ascii="Trebuchet MS" w:hAnsi="Trebuchet MS"/>
          <w:snapToGrid w:val="0"/>
          <w:color w:val="1F4E79"/>
          <w:sz w:val="22"/>
          <w:szCs w:val="22"/>
          <w:lang w:val="en-GB"/>
        </w:rPr>
        <w:t>;</w:t>
      </w:r>
    </w:p>
    <w:p w14:paraId="0CC06949" w14:textId="77777777" w:rsidR="003D19E8" w:rsidRPr="004A5019" w:rsidRDefault="003D19E8" w:rsidP="0043285E">
      <w:pPr>
        <w:numPr>
          <w:ilvl w:val="0"/>
          <w:numId w:val="21"/>
        </w:numPr>
        <w:spacing w:before="120"/>
        <w:jc w:val="both"/>
        <w:rPr>
          <w:rFonts w:ascii="Trebuchet MS" w:hAnsi="Trebuchet MS" w:cs="Trebuchet MS"/>
          <w:color w:val="1F4E79"/>
          <w:sz w:val="22"/>
          <w:szCs w:val="22"/>
          <w:lang w:val="en-GB"/>
        </w:rPr>
      </w:pPr>
      <w:r w:rsidRPr="0097548C">
        <w:rPr>
          <w:rFonts w:ascii="Trebuchet MS" w:hAnsi="Trebuchet MS"/>
          <w:snapToGrid w:val="0"/>
          <w:color w:val="1F4E79"/>
          <w:sz w:val="22"/>
          <w:szCs w:val="22"/>
          <w:lang w:val="en-GB"/>
        </w:rPr>
        <w:t>This form of reimbursement is obligatory for all beneficiaries</w:t>
      </w:r>
      <w:r w:rsidR="00072DC2" w:rsidRPr="004A5019">
        <w:rPr>
          <w:rFonts w:ascii="Trebuchet MS" w:hAnsi="Trebuchet MS"/>
          <w:snapToGrid w:val="0"/>
          <w:color w:val="1F4E79"/>
          <w:sz w:val="22"/>
          <w:szCs w:val="22"/>
          <w:lang w:val="en-GB"/>
        </w:rPr>
        <w:t>.</w:t>
      </w:r>
    </w:p>
    <w:p w14:paraId="4C93DF19" w14:textId="77777777" w:rsidR="00384428" w:rsidRPr="004A5019" w:rsidRDefault="00384428" w:rsidP="008A1314">
      <w:pPr>
        <w:autoSpaceDE w:val="0"/>
        <w:autoSpaceDN w:val="0"/>
        <w:adjustRightInd w:val="0"/>
        <w:spacing w:before="120" w:after="120"/>
        <w:jc w:val="both"/>
        <w:rPr>
          <w:rFonts w:ascii="Trebuchet MS" w:hAnsi="Trebuchet MS"/>
          <w:color w:val="1F4E79"/>
          <w:sz w:val="22"/>
          <w:szCs w:val="22"/>
          <w:lang w:val="en-GB"/>
        </w:rPr>
      </w:pPr>
    </w:p>
    <w:sectPr w:rsidR="00384428" w:rsidRPr="004A5019" w:rsidSect="00626EB0">
      <w:headerReference w:type="default" r:id="rId9"/>
      <w:footerReference w:type="even" r:id="rId10"/>
      <w:footerReference w:type="default" r:id="rId11"/>
      <w:pgSz w:w="12240" w:h="15840"/>
      <w:pgMar w:top="1260" w:right="1080" w:bottom="1080" w:left="1440" w:header="36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53938E" w14:textId="77777777" w:rsidR="00D47737" w:rsidRDefault="00D47737">
      <w:r>
        <w:separator/>
      </w:r>
    </w:p>
  </w:endnote>
  <w:endnote w:type="continuationSeparator" w:id="0">
    <w:p w14:paraId="308AD5ED" w14:textId="77777777" w:rsidR="00D47737" w:rsidRDefault="00D47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EC Square Sans Pro">
    <w:altName w:val="EC Square Sans Pro"/>
    <w:panose1 w:val="00000000000000000000"/>
    <w:charset w:val="00"/>
    <w:family w:val="swiss"/>
    <w:notTrueType/>
    <w:pitch w:val="default"/>
    <w:sig w:usb0="00000003" w:usb1="00000000" w:usb2="00000000" w:usb3="00000000" w:csb0="00000001" w:csb1="00000000"/>
  </w:font>
  <w:font w:name="EC Square Sans Pro Light">
    <w:altName w:val="EC Square Sans Pro Ligh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19BCC" w14:textId="77777777" w:rsidR="00402AA8" w:rsidRDefault="00402AA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A29D80" w14:textId="77777777" w:rsidR="00402AA8" w:rsidRDefault="00402AA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32DA4" w14:textId="7E403A61" w:rsidR="00402AA8" w:rsidRDefault="00402AA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E7AAC">
      <w:rPr>
        <w:rStyle w:val="PageNumber"/>
        <w:noProof/>
      </w:rPr>
      <w:t>9</w:t>
    </w:r>
    <w:r>
      <w:rPr>
        <w:rStyle w:val="PageNumber"/>
      </w:rPr>
      <w:fldChar w:fldCharType="end"/>
    </w:r>
  </w:p>
  <w:p w14:paraId="278A9AA9" w14:textId="77777777" w:rsidR="00402AA8" w:rsidRDefault="00402AA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F50C2A" w14:textId="77777777" w:rsidR="00D47737" w:rsidRDefault="00D47737">
      <w:r>
        <w:separator/>
      </w:r>
    </w:p>
  </w:footnote>
  <w:footnote w:type="continuationSeparator" w:id="0">
    <w:p w14:paraId="12CE8FE6" w14:textId="77777777" w:rsidR="00D47737" w:rsidRDefault="00D47737">
      <w:r>
        <w:continuationSeparator/>
      </w:r>
    </w:p>
  </w:footnote>
  <w:footnote w:id="1">
    <w:p w14:paraId="40FD98B4" w14:textId="77777777" w:rsidR="00E70EFC" w:rsidRPr="009C1A7F" w:rsidRDefault="00E70EFC" w:rsidP="00E70EFC">
      <w:pPr>
        <w:pStyle w:val="FootnoteText"/>
        <w:rPr>
          <w:lang w:val="ro-RO"/>
        </w:rPr>
      </w:pPr>
      <w:r>
        <w:rPr>
          <w:rStyle w:val="FootnoteReference"/>
        </w:rPr>
        <w:footnoteRef/>
      </w:r>
      <w:r>
        <w:t xml:space="preserve"> </w:t>
      </w:r>
      <w:r w:rsidRPr="00CE4071">
        <w:rPr>
          <w:rFonts w:ascii="Trebuchet MS" w:hAnsi="Trebuchet MS"/>
          <w:snapToGrid w:val="0"/>
          <w:color w:val="1F4E79"/>
          <w:lang w:val="en-GB"/>
        </w:rPr>
        <w:t>EC Guidance on Simplified Cost Options, page 20, Indirect costs and Regulation 2021/1059, art. 43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D819A0" w14:textId="33D33848" w:rsidR="00402AA8" w:rsidRPr="008A1314" w:rsidRDefault="008275CA" w:rsidP="00B92338">
    <w:pPr>
      <w:pStyle w:val="Title"/>
      <w:keepNext/>
      <w:widowControl w:val="0"/>
      <w:jc w:val="left"/>
      <w:rPr>
        <w:sz w:val="28"/>
      </w:rPr>
    </w:pPr>
    <w:r>
      <w:rPr>
        <w:noProof/>
        <w:sz w:val="28"/>
      </w:rPr>
      <w:drawing>
        <wp:anchor distT="0" distB="0" distL="114300" distR="114300" simplePos="0" relativeHeight="251657728" behindDoc="0" locked="0" layoutInCell="1" allowOverlap="1" wp14:anchorId="0F00BD47" wp14:editId="73B9A3F1">
          <wp:simplePos x="0" y="0"/>
          <wp:positionH relativeFrom="column">
            <wp:posOffset>5907405</wp:posOffset>
          </wp:positionH>
          <wp:positionV relativeFrom="paragraph">
            <wp:posOffset>-136525</wp:posOffset>
          </wp:positionV>
          <wp:extent cx="639445" cy="63944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445" cy="639445"/>
                  </a:xfrm>
                  <a:prstGeom prst="rect">
                    <a:avLst/>
                  </a:prstGeom>
                  <a:noFill/>
                </pic:spPr>
              </pic:pic>
            </a:graphicData>
          </a:graphic>
          <wp14:sizeRelH relativeFrom="page">
            <wp14:pctWidth>0</wp14:pctWidth>
          </wp14:sizeRelH>
          <wp14:sizeRelV relativeFrom="page">
            <wp14:pctHeight>0</wp14:pctHeight>
          </wp14:sizeRelV>
        </wp:anchor>
      </w:drawing>
    </w:r>
    <w:r w:rsidRPr="007A40B2">
      <w:rPr>
        <w:noProof/>
      </w:rPr>
      <w:drawing>
        <wp:inline distT="0" distB="0" distL="0" distR="0" wp14:anchorId="2A6A0990" wp14:editId="4AEB76C0">
          <wp:extent cx="1689100" cy="48260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89100" cy="4826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316.65pt;height:5in" o:bullet="t">
        <v:imagedata r:id="rId1" o:title=""/>
      </v:shape>
    </w:pict>
  </w:numPicBullet>
  <w:numPicBullet w:numPicBulletId="1">
    <w:pict>
      <v:shape id="_x0000_i1060" type="#_x0000_t75" style="width:2in;height:2in" o:bullet="t">
        <v:imagedata r:id="rId2" o:title="INTERREG icons 2020 E3"/>
      </v:shape>
    </w:pict>
  </w:numPicBullet>
  <w:abstractNum w:abstractNumId="0" w15:restartNumberingAfterBreak="0">
    <w:nsid w:val="06965C0A"/>
    <w:multiLevelType w:val="hybridMultilevel"/>
    <w:tmpl w:val="502C10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CA63CA"/>
    <w:multiLevelType w:val="hybridMultilevel"/>
    <w:tmpl w:val="8B8C15C2"/>
    <w:lvl w:ilvl="0" w:tplc="09C674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2E60DC"/>
    <w:multiLevelType w:val="hybridMultilevel"/>
    <w:tmpl w:val="C1D0CC72"/>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143850F3"/>
    <w:multiLevelType w:val="hybridMultilevel"/>
    <w:tmpl w:val="92BE316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173A40"/>
    <w:multiLevelType w:val="hybridMultilevel"/>
    <w:tmpl w:val="F06E3A9E"/>
    <w:lvl w:ilvl="0" w:tplc="BCEC2F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BC71CF"/>
    <w:multiLevelType w:val="hybridMultilevel"/>
    <w:tmpl w:val="DD56C374"/>
    <w:lvl w:ilvl="0" w:tplc="04090001">
      <w:start w:val="1"/>
      <w:numFmt w:val="bullet"/>
      <w:lvlText w:val=""/>
      <w:lvlJc w:val="left"/>
      <w:pPr>
        <w:ind w:left="2154" w:hanging="360"/>
      </w:pPr>
      <w:rPr>
        <w:rFonts w:ascii="Symbol" w:hAnsi="Symbol" w:hint="default"/>
      </w:rPr>
    </w:lvl>
    <w:lvl w:ilvl="1" w:tplc="04090003" w:tentative="1">
      <w:start w:val="1"/>
      <w:numFmt w:val="bullet"/>
      <w:lvlText w:val="o"/>
      <w:lvlJc w:val="left"/>
      <w:pPr>
        <w:ind w:left="2874" w:hanging="360"/>
      </w:pPr>
      <w:rPr>
        <w:rFonts w:ascii="Courier New" w:hAnsi="Courier New" w:cs="Courier New" w:hint="default"/>
      </w:rPr>
    </w:lvl>
    <w:lvl w:ilvl="2" w:tplc="04090005" w:tentative="1">
      <w:start w:val="1"/>
      <w:numFmt w:val="bullet"/>
      <w:lvlText w:val=""/>
      <w:lvlJc w:val="left"/>
      <w:pPr>
        <w:ind w:left="3594" w:hanging="360"/>
      </w:pPr>
      <w:rPr>
        <w:rFonts w:ascii="Wingdings" w:hAnsi="Wingdings" w:hint="default"/>
      </w:rPr>
    </w:lvl>
    <w:lvl w:ilvl="3" w:tplc="04090001" w:tentative="1">
      <w:start w:val="1"/>
      <w:numFmt w:val="bullet"/>
      <w:lvlText w:val=""/>
      <w:lvlJc w:val="left"/>
      <w:pPr>
        <w:ind w:left="4314" w:hanging="360"/>
      </w:pPr>
      <w:rPr>
        <w:rFonts w:ascii="Symbol" w:hAnsi="Symbol" w:hint="default"/>
      </w:rPr>
    </w:lvl>
    <w:lvl w:ilvl="4" w:tplc="04090003" w:tentative="1">
      <w:start w:val="1"/>
      <w:numFmt w:val="bullet"/>
      <w:lvlText w:val="o"/>
      <w:lvlJc w:val="left"/>
      <w:pPr>
        <w:ind w:left="5034" w:hanging="360"/>
      </w:pPr>
      <w:rPr>
        <w:rFonts w:ascii="Courier New" w:hAnsi="Courier New" w:cs="Courier New" w:hint="default"/>
      </w:rPr>
    </w:lvl>
    <w:lvl w:ilvl="5" w:tplc="04090005" w:tentative="1">
      <w:start w:val="1"/>
      <w:numFmt w:val="bullet"/>
      <w:lvlText w:val=""/>
      <w:lvlJc w:val="left"/>
      <w:pPr>
        <w:ind w:left="5754" w:hanging="360"/>
      </w:pPr>
      <w:rPr>
        <w:rFonts w:ascii="Wingdings" w:hAnsi="Wingdings" w:hint="default"/>
      </w:rPr>
    </w:lvl>
    <w:lvl w:ilvl="6" w:tplc="04090001" w:tentative="1">
      <w:start w:val="1"/>
      <w:numFmt w:val="bullet"/>
      <w:lvlText w:val=""/>
      <w:lvlJc w:val="left"/>
      <w:pPr>
        <w:ind w:left="6474" w:hanging="360"/>
      </w:pPr>
      <w:rPr>
        <w:rFonts w:ascii="Symbol" w:hAnsi="Symbol" w:hint="default"/>
      </w:rPr>
    </w:lvl>
    <w:lvl w:ilvl="7" w:tplc="04090003" w:tentative="1">
      <w:start w:val="1"/>
      <w:numFmt w:val="bullet"/>
      <w:lvlText w:val="o"/>
      <w:lvlJc w:val="left"/>
      <w:pPr>
        <w:ind w:left="7194" w:hanging="360"/>
      </w:pPr>
      <w:rPr>
        <w:rFonts w:ascii="Courier New" w:hAnsi="Courier New" w:cs="Courier New" w:hint="default"/>
      </w:rPr>
    </w:lvl>
    <w:lvl w:ilvl="8" w:tplc="04090005" w:tentative="1">
      <w:start w:val="1"/>
      <w:numFmt w:val="bullet"/>
      <w:lvlText w:val=""/>
      <w:lvlJc w:val="left"/>
      <w:pPr>
        <w:ind w:left="7914" w:hanging="360"/>
      </w:pPr>
      <w:rPr>
        <w:rFonts w:ascii="Wingdings" w:hAnsi="Wingdings" w:hint="default"/>
      </w:rPr>
    </w:lvl>
  </w:abstractNum>
  <w:abstractNum w:abstractNumId="6" w15:restartNumberingAfterBreak="0">
    <w:nsid w:val="18C151CC"/>
    <w:multiLevelType w:val="hybridMultilevel"/>
    <w:tmpl w:val="7F627624"/>
    <w:lvl w:ilvl="0" w:tplc="04090001">
      <w:start w:val="1"/>
      <w:numFmt w:val="bullet"/>
      <w:lvlText w:val=""/>
      <w:lvlJc w:val="left"/>
      <w:pPr>
        <w:ind w:left="2154" w:hanging="360"/>
      </w:pPr>
      <w:rPr>
        <w:rFonts w:ascii="Symbol" w:hAnsi="Symbol" w:hint="default"/>
      </w:rPr>
    </w:lvl>
    <w:lvl w:ilvl="1" w:tplc="04090003" w:tentative="1">
      <w:start w:val="1"/>
      <w:numFmt w:val="bullet"/>
      <w:lvlText w:val="o"/>
      <w:lvlJc w:val="left"/>
      <w:pPr>
        <w:ind w:left="2874" w:hanging="360"/>
      </w:pPr>
      <w:rPr>
        <w:rFonts w:ascii="Courier New" w:hAnsi="Courier New" w:cs="Courier New" w:hint="default"/>
      </w:rPr>
    </w:lvl>
    <w:lvl w:ilvl="2" w:tplc="04090005" w:tentative="1">
      <w:start w:val="1"/>
      <w:numFmt w:val="bullet"/>
      <w:lvlText w:val=""/>
      <w:lvlJc w:val="left"/>
      <w:pPr>
        <w:ind w:left="3594" w:hanging="360"/>
      </w:pPr>
      <w:rPr>
        <w:rFonts w:ascii="Wingdings" w:hAnsi="Wingdings" w:hint="default"/>
      </w:rPr>
    </w:lvl>
    <w:lvl w:ilvl="3" w:tplc="04090001" w:tentative="1">
      <w:start w:val="1"/>
      <w:numFmt w:val="bullet"/>
      <w:lvlText w:val=""/>
      <w:lvlJc w:val="left"/>
      <w:pPr>
        <w:ind w:left="4314" w:hanging="360"/>
      </w:pPr>
      <w:rPr>
        <w:rFonts w:ascii="Symbol" w:hAnsi="Symbol" w:hint="default"/>
      </w:rPr>
    </w:lvl>
    <w:lvl w:ilvl="4" w:tplc="04090003" w:tentative="1">
      <w:start w:val="1"/>
      <w:numFmt w:val="bullet"/>
      <w:lvlText w:val="o"/>
      <w:lvlJc w:val="left"/>
      <w:pPr>
        <w:ind w:left="5034" w:hanging="360"/>
      </w:pPr>
      <w:rPr>
        <w:rFonts w:ascii="Courier New" w:hAnsi="Courier New" w:cs="Courier New" w:hint="default"/>
      </w:rPr>
    </w:lvl>
    <w:lvl w:ilvl="5" w:tplc="04090005" w:tentative="1">
      <w:start w:val="1"/>
      <w:numFmt w:val="bullet"/>
      <w:lvlText w:val=""/>
      <w:lvlJc w:val="left"/>
      <w:pPr>
        <w:ind w:left="5754" w:hanging="360"/>
      </w:pPr>
      <w:rPr>
        <w:rFonts w:ascii="Wingdings" w:hAnsi="Wingdings" w:hint="default"/>
      </w:rPr>
    </w:lvl>
    <w:lvl w:ilvl="6" w:tplc="04090001" w:tentative="1">
      <w:start w:val="1"/>
      <w:numFmt w:val="bullet"/>
      <w:lvlText w:val=""/>
      <w:lvlJc w:val="left"/>
      <w:pPr>
        <w:ind w:left="6474" w:hanging="360"/>
      </w:pPr>
      <w:rPr>
        <w:rFonts w:ascii="Symbol" w:hAnsi="Symbol" w:hint="default"/>
      </w:rPr>
    </w:lvl>
    <w:lvl w:ilvl="7" w:tplc="04090003" w:tentative="1">
      <w:start w:val="1"/>
      <w:numFmt w:val="bullet"/>
      <w:lvlText w:val="o"/>
      <w:lvlJc w:val="left"/>
      <w:pPr>
        <w:ind w:left="7194" w:hanging="360"/>
      </w:pPr>
      <w:rPr>
        <w:rFonts w:ascii="Courier New" w:hAnsi="Courier New" w:cs="Courier New" w:hint="default"/>
      </w:rPr>
    </w:lvl>
    <w:lvl w:ilvl="8" w:tplc="04090005" w:tentative="1">
      <w:start w:val="1"/>
      <w:numFmt w:val="bullet"/>
      <w:lvlText w:val=""/>
      <w:lvlJc w:val="left"/>
      <w:pPr>
        <w:ind w:left="7914" w:hanging="360"/>
      </w:pPr>
      <w:rPr>
        <w:rFonts w:ascii="Wingdings" w:hAnsi="Wingdings" w:hint="default"/>
      </w:rPr>
    </w:lvl>
  </w:abstractNum>
  <w:abstractNum w:abstractNumId="7" w15:restartNumberingAfterBreak="0">
    <w:nsid w:val="19977C97"/>
    <w:multiLevelType w:val="hybridMultilevel"/>
    <w:tmpl w:val="1B223452"/>
    <w:lvl w:ilvl="0" w:tplc="04090017">
      <w:start w:val="1"/>
      <w:numFmt w:val="lowerLetter"/>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 w15:restartNumberingAfterBreak="0">
    <w:nsid w:val="216F4AA5"/>
    <w:multiLevelType w:val="hybridMultilevel"/>
    <w:tmpl w:val="F93C1048"/>
    <w:lvl w:ilvl="0" w:tplc="46FA48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A75284"/>
    <w:multiLevelType w:val="hybridMultilevel"/>
    <w:tmpl w:val="1F22A65C"/>
    <w:lvl w:ilvl="0" w:tplc="8C4E30AE">
      <w:start w:val="1"/>
      <w:numFmt w:val="decimal"/>
      <w:lvlText w:val="(%1)"/>
      <w:lvlJc w:val="left"/>
      <w:pPr>
        <w:ind w:left="720" w:hanging="360"/>
      </w:pPr>
      <w:rPr>
        <w:rFonts w:ascii="Trebuchet MS" w:eastAsia="Times New Roman" w:hAnsi="Trebuchet MS" w:cs="Trebuchet M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4C3DB5"/>
    <w:multiLevelType w:val="hybridMultilevel"/>
    <w:tmpl w:val="193A3CE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3CD0235"/>
    <w:multiLevelType w:val="hybridMultilevel"/>
    <w:tmpl w:val="9BBACE72"/>
    <w:lvl w:ilvl="0" w:tplc="E9C0F3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69657DA"/>
    <w:multiLevelType w:val="hybridMultilevel"/>
    <w:tmpl w:val="623022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02479F"/>
    <w:multiLevelType w:val="hybridMultilevel"/>
    <w:tmpl w:val="9FBEC3C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48063EDD"/>
    <w:multiLevelType w:val="hybridMultilevel"/>
    <w:tmpl w:val="4670B880"/>
    <w:lvl w:ilvl="0" w:tplc="B49421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E57796"/>
    <w:multiLevelType w:val="hybridMultilevel"/>
    <w:tmpl w:val="1460F8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6EA1999"/>
    <w:multiLevelType w:val="hybridMultilevel"/>
    <w:tmpl w:val="A3601C66"/>
    <w:lvl w:ilvl="0" w:tplc="4F96A4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31035A"/>
    <w:multiLevelType w:val="hybridMultilevel"/>
    <w:tmpl w:val="866E963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331921"/>
    <w:multiLevelType w:val="hybridMultilevel"/>
    <w:tmpl w:val="136A11F0"/>
    <w:lvl w:ilvl="0" w:tplc="4F96A4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40222E"/>
    <w:multiLevelType w:val="hybridMultilevel"/>
    <w:tmpl w:val="A372E132"/>
    <w:lvl w:ilvl="0" w:tplc="3FC833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725031"/>
    <w:multiLevelType w:val="hybridMultilevel"/>
    <w:tmpl w:val="623022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97761A"/>
    <w:multiLevelType w:val="hybridMultilevel"/>
    <w:tmpl w:val="0A1C54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4DC707A"/>
    <w:multiLevelType w:val="hybridMultilevel"/>
    <w:tmpl w:val="69B81566"/>
    <w:lvl w:ilvl="0" w:tplc="3708A30E">
      <w:start w:val="1"/>
      <w:numFmt w:val="decimal"/>
      <w:lvlText w:val="(%1)"/>
      <w:lvlJc w:val="left"/>
      <w:pPr>
        <w:ind w:left="720" w:hanging="360"/>
      </w:pPr>
      <w:rPr>
        <w:rFonts w:cs="Times New Roman" w:hint="default"/>
        <w:color w:val="1F4E79"/>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292067"/>
    <w:multiLevelType w:val="hybridMultilevel"/>
    <w:tmpl w:val="B29EE886"/>
    <w:lvl w:ilvl="0" w:tplc="8A3A5D88">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E1726A"/>
    <w:multiLevelType w:val="hybridMultilevel"/>
    <w:tmpl w:val="2BF60602"/>
    <w:lvl w:ilvl="0" w:tplc="04090017">
      <w:start w:val="1"/>
      <w:numFmt w:val="lowerLetter"/>
      <w:lvlText w:val="%1)"/>
      <w:lvlJc w:val="left"/>
      <w:pPr>
        <w:ind w:left="1434" w:hanging="360"/>
      </w:p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25" w15:restartNumberingAfterBreak="0">
    <w:nsid w:val="7B7751E7"/>
    <w:multiLevelType w:val="hybridMultilevel"/>
    <w:tmpl w:val="547EF808"/>
    <w:lvl w:ilvl="0" w:tplc="90940D02">
      <w:start w:val="1"/>
      <w:numFmt w:val="lowerRoman"/>
      <w:lvlText w:val="(%1)"/>
      <w:lvlJc w:val="left"/>
      <w:pPr>
        <w:ind w:left="1980" w:hanging="72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22"/>
  </w:num>
  <w:num w:numId="2">
    <w:abstractNumId w:val="21"/>
  </w:num>
  <w:num w:numId="3">
    <w:abstractNumId w:val="19"/>
  </w:num>
  <w:num w:numId="4">
    <w:abstractNumId w:val="0"/>
  </w:num>
  <w:num w:numId="5">
    <w:abstractNumId w:val="13"/>
  </w:num>
  <w:num w:numId="6">
    <w:abstractNumId w:val="2"/>
  </w:num>
  <w:num w:numId="7">
    <w:abstractNumId w:val="20"/>
  </w:num>
  <w:num w:numId="8">
    <w:abstractNumId w:val="12"/>
  </w:num>
  <w:num w:numId="9">
    <w:abstractNumId w:val="1"/>
  </w:num>
  <w:num w:numId="10">
    <w:abstractNumId w:val="14"/>
  </w:num>
  <w:num w:numId="11">
    <w:abstractNumId w:val="16"/>
  </w:num>
  <w:num w:numId="12">
    <w:abstractNumId w:val="15"/>
  </w:num>
  <w:num w:numId="13">
    <w:abstractNumId w:val="4"/>
  </w:num>
  <w:num w:numId="14">
    <w:abstractNumId w:val="3"/>
  </w:num>
  <w:num w:numId="15">
    <w:abstractNumId w:val="9"/>
  </w:num>
  <w:num w:numId="16">
    <w:abstractNumId w:val="7"/>
  </w:num>
  <w:num w:numId="17">
    <w:abstractNumId w:val="18"/>
  </w:num>
  <w:num w:numId="18">
    <w:abstractNumId w:val="17"/>
  </w:num>
  <w:num w:numId="19">
    <w:abstractNumId w:val="8"/>
  </w:num>
  <w:num w:numId="20">
    <w:abstractNumId w:val="10"/>
  </w:num>
  <w:num w:numId="21">
    <w:abstractNumId w:val="11"/>
  </w:num>
  <w:num w:numId="22">
    <w:abstractNumId w:val="24"/>
  </w:num>
  <w:num w:numId="23">
    <w:abstractNumId w:val="5"/>
  </w:num>
  <w:num w:numId="24">
    <w:abstractNumId w:val="6"/>
  </w:num>
  <w:num w:numId="25">
    <w:abstractNumId w:val="25"/>
  </w:num>
  <w:num w:numId="26">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1D0"/>
    <w:rsid w:val="000006D2"/>
    <w:rsid w:val="0000132A"/>
    <w:rsid w:val="0000247B"/>
    <w:rsid w:val="00004318"/>
    <w:rsid w:val="000076DA"/>
    <w:rsid w:val="00007C7B"/>
    <w:rsid w:val="00011025"/>
    <w:rsid w:val="00012160"/>
    <w:rsid w:val="000136EA"/>
    <w:rsid w:val="00023182"/>
    <w:rsid w:val="0002459E"/>
    <w:rsid w:val="00033F6A"/>
    <w:rsid w:val="00040141"/>
    <w:rsid w:val="00040436"/>
    <w:rsid w:val="0004406D"/>
    <w:rsid w:val="00047B53"/>
    <w:rsid w:val="0005743F"/>
    <w:rsid w:val="0006681B"/>
    <w:rsid w:val="00066A7F"/>
    <w:rsid w:val="00071BBD"/>
    <w:rsid w:val="00072DC2"/>
    <w:rsid w:val="00073ED8"/>
    <w:rsid w:val="0007796F"/>
    <w:rsid w:val="00083C3E"/>
    <w:rsid w:val="00085A26"/>
    <w:rsid w:val="00091A6D"/>
    <w:rsid w:val="00097A7E"/>
    <w:rsid w:val="000A2F47"/>
    <w:rsid w:val="000A3D61"/>
    <w:rsid w:val="000B4706"/>
    <w:rsid w:val="000B540B"/>
    <w:rsid w:val="000B55B9"/>
    <w:rsid w:val="000C15A6"/>
    <w:rsid w:val="000C6623"/>
    <w:rsid w:val="000C790E"/>
    <w:rsid w:val="000D0F9F"/>
    <w:rsid w:val="000D3182"/>
    <w:rsid w:val="000D4F85"/>
    <w:rsid w:val="000D5889"/>
    <w:rsid w:val="000D5972"/>
    <w:rsid w:val="000D7EE8"/>
    <w:rsid w:val="000E0FEA"/>
    <w:rsid w:val="000E5500"/>
    <w:rsid w:val="000F6187"/>
    <w:rsid w:val="001015C3"/>
    <w:rsid w:val="00103ED2"/>
    <w:rsid w:val="00112E91"/>
    <w:rsid w:val="00116754"/>
    <w:rsid w:val="00121BDB"/>
    <w:rsid w:val="00122FCF"/>
    <w:rsid w:val="00125245"/>
    <w:rsid w:val="001255CE"/>
    <w:rsid w:val="00126DE1"/>
    <w:rsid w:val="00132134"/>
    <w:rsid w:val="00133846"/>
    <w:rsid w:val="00133AC8"/>
    <w:rsid w:val="00140DDD"/>
    <w:rsid w:val="00142F45"/>
    <w:rsid w:val="00143661"/>
    <w:rsid w:val="00143FDF"/>
    <w:rsid w:val="00144198"/>
    <w:rsid w:val="00150069"/>
    <w:rsid w:val="00154B5B"/>
    <w:rsid w:val="00156A5D"/>
    <w:rsid w:val="001576ED"/>
    <w:rsid w:val="00162A98"/>
    <w:rsid w:val="0016470A"/>
    <w:rsid w:val="00165113"/>
    <w:rsid w:val="00165DD9"/>
    <w:rsid w:val="00166C82"/>
    <w:rsid w:val="0017088D"/>
    <w:rsid w:val="00170FD5"/>
    <w:rsid w:val="0017195D"/>
    <w:rsid w:val="00173715"/>
    <w:rsid w:val="00174A88"/>
    <w:rsid w:val="0017751E"/>
    <w:rsid w:val="001777D5"/>
    <w:rsid w:val="00177C00"/>
    <w:rsid w:val="00181B2D"/>
    <w:rsid w:val="0018257F"/>
    <w:rsid w:val="0018627F"/>
    <w:rsid w:val="0018730B"/>
    <w:rsid w:val="00190463"/>
    <w:rsid w:val="0019096E"/>
    <w:rsid w:val="001913FB"/>
    <w:rsid w:val="001960AA"/>
    <w:rsid w:val="001961F3"/>
    <w:rsid w:val="001A0E01"/>
    <w:rsid w:val="001A46A6"/>
    <w:rsid w:val="001A4DED"/>
    <w:rsid w:val="001A4F5F"/>
    <w:rsid w:val="001A6B92"/>
    <w:rsid w:val="001B0373"/>
    <w:rsid w:val="001B07F7"/>
    <w:rsid w:val="001B24BA"/>
    <w:rsid w:val="001B2A19"/>
    <w:rsid w:val="001B360E"/>
    <w:rsid w:val="001B6065"/>
    <w:rsid w:val="001B765A"/>
    <w:rsid w:val="001C0CE9"/>
    <w:rsid w:val="001C1E28"/>
    <w:rsid w:val="001C4730"/>
    <w:rsid w:val="001C74DC"/>
    <w:rsid w:val="001C7EC9"/>
    <w:rsid w:val="001D0730"/>
    <w:rsid w:val="001D1EDE"/>
    <w:rsid w:val="001D283C"/>
    <w:rsid w:val="001D5759"/>
    <w:rsid w:val="001D68F1"/>
    <w:rsid w:val="001D72D4"/>
    <w:rsid w:val="001D76B3"/>
    <w:rsid w:val="001D7713"/>
    <w:rsid w:val="001E00BF"/>
    <w:rsid w:val="001E078A"/>
    <w:rsid w:val="001E4293"/>
    <w:rsid w:val="001E77AB"/>
    <w:rsid w:val="001F2C75"/>
    <w:rsid w:val="002002FF"/>
    <w:rsid w:val="002041D7"/>
    <w:rsid w:val="00204319"/>
    <w:rsid w:val="002101DB"/>
    <w:rsid w:val="00210BCB"/>
    <w:rsid w:val="00211C98"/>
    <w:rsid w:val="002122DE"/>
    <w:rsid w:val="00212AB7"/>
    <w:rsid w:val="002205AB"/>
    <w:rsid w:val="00233B98"/>
    <w:rsid w:val="00233D4E"/>
    <w:rsid w:val="002356EE"/>
    <w:rsid w:val="002365AE"/>
    <w:rsid w:val="002408BA"/>
    <w:rsid w:val="00241DEC"/>
    <w:rsid w:val="0024234D"/>
    <w:rsid w:val="00247DA6"/>
    <w:rsid w:val="0025203F"/>
    <w:rsid w:val="00252426"/>
    <w:rsid w:val="00257307"/>
    <w:rsid w:val="0026556D"/>
    <w:rsid w:val="00266FBC"/>
    <w:rsid w:val="00267697"/>
    <w:rsid w:val="00273683"/>
    <w:rsid w:val="00274905"/>
    <w:rsid w:val="002749A1"/>
    <w:rsid w:val="00276FD0"/>
    <w:rsid w:val="0028025D"/>
    <w:rsid w:val="00282660"/>
    <w:rsid w:val="0028311E"/>
    <w:rsid w:val="00283F32"/>
    <w:rsid w:val="002857D8"/>
    <w:rsid w:val="00286465"/>
    <w:rsid w:val="0028659D"/>
    <w:rsid w:val="00286C6D"/>
    <w:rsid w:val="00296019"/>
    <w:rsid w:val="002A4868"/>
    <w:rsid w:val="002A4945"/>
    <w:rsid w:val="002A55FB"/>
    <w:rsid w:val="002A5744"/>
    <w:rsid w:val="002B0C65"/>
    <w:rsid w:val="002B58D6"/>
    <w:rsid w:val="002B5DD4"/>
    <w:rsid w:val="002B7ECC"/>
    <w:rsid w:val="002C0DD9"/>
    <w:rsid w:val="002C533B"/>
    <w:rsid w:val="002D2A3D"/>
    <w:rsid w:val="002D2FCC"/>
    <w:rsid w:val="002D5FA2"/>
    <w:rsid w:val="002D6A18"/>
    <w:rsid w:val="002E0242"/>
    <w:rsid w:val="002E30F2"/>
    <w:rsid w:val="002E42E9"/>
    <w:rsid w:val="002E5869"/>
    <w:rsid w:val="002E5B02"/>
    <w:rsid w:val="002E6C00"/>
    <w:rsid w:val="002E75AC"/>
    <w:rsid w:val="002F0094"/>
    <w:rsid w:val="002F07F4"/>
    <w:rsid w:val="002F0D4C"/>
    <w:rsid w:val="002F1EDC"/>
    <w:rsid w:val="002F2EE1"/>
    <w:rsid w:val="002F329B"/>
    <w:rsid w:val="002F3FEC"/>
    <w:rsid w:val="002F63F7"/>
    <w:rsid w:val="002F7463"/>
    <w:rsid w:val="002F7E41"/>
    <w:rsid w:val="00302C3E"/>
    <w:rsid w:val="003046E7"/>
    <w:rsid w:val="003046F7"/>
    <w:rsid w:val="00304A9E"/>
    <w:rsid w:val="0030618E"/>
    <w:rsid w:val="00306DA2"/>
    <w:rsid w:val="0030792B"/>
    <w:rsid w:val="00311313"/>
    <w:rsid w:val="00317ABC"/>
    <w:rsid w:val="003210E2"/>
    <w:rsid w:val="00322A73"/>
    <w:rsid w:val="003237CF"/>
    <w:rsid w:val="0032395A"/>
    <w:rsid w:val="0032466A"/>
    <w:rsid w:val="00334826"/>
    <w:rsid w:val="00341777"/>
    <w:rsid w:val="003437DE"/>
    <w:rsid w:val="00345122"/>
    <w:rsid w:val="003477AC"/>
    <w:rsid w:val="00351D34"/>
    <w:rsid w:val="00354D59"/>
    <w:rsid w:val="00357549"/>
    <w:rsid w:val="00357A67"/>
    <w:rsid w:val="003652FA"/>
    <w:rsid w:val="00365EC5"/>
    <w:rsid w:val="00366CFE"/>
    <w:rsid w:val="0037111D"/>
    <w:rsid w:val="003771D7"/>
    <w:rsid w:val="00381D08"/>
    <w:rsid w:val="00384428"/>
    <w:rsid w:val="003855CE"/>
    <w:rsid w:val="00390511"/>
    <w:rsid w:val="003908D4"/>
    <w:rsid w:val="003947F6"/>
    <w:rsid w:val="003956C3"/>
    <w:rsid w:val="00395807"/>
    <w:rsid w:val="00395E39"/>
    <w:rsid w:val="00395F2D"/>
    <w:rsid w:val="003967C6"/>
    <w:rsid w:val="00397771"/>
    <w:rsid w:val="003A13BC"/>
    <w:rsid w:val="003A63CA"/>
    <w:rsid w:val="003B01CE"/>
    <w:rsid w:val="003B1F6B"/>
    <w:rsid w:val="003B2195"/>
    <w:rsid w:val="003B22FE"/>
    <w:rsid w:val="003B64AD"/>
    <w:rsid w:val="003B68A8"/>
    <w:rsid w:val="003B7497"/>
    <w:rsid w:val="003C222F"/>
    <w:rsid w:val="003C2DB6"/>
    <w:rsid w:val="003C405E"/>
    <w:rsid w:val="003C540B"/>
    <w:rsid w:val="003C5494"/>
    <w:rsid w:val="003C54EA"/>
    <w:rsid w:val="003C62B4"/>
    <w:rsid w:val="003C6ED7"/>
    <w:rsid w:val="003D19E8"/>
    <w:rsid w:val="003D219E"/>
    <w:rsid w:val="003D383B"/>
    <w:rsid w:val="003D4B89"/>
    <w:rsid w:val="003D62AB"/>
    <w:rsid w:val="003D6DD3"/>
    <w:rsid w:val="003D716A"/>
    <w:rsid w:val="003E0FBD"/>
    <w:rsid w:val="003E3C38"/>
    <w:rsid w:val="003E4659"/>
    <w:rsid w:val="003F1739"/>
    <w:rsid w:val="003F49FE"/>
    <w:rsid w:val="003F5882"/>
    <w:rsid w:val="003F5C48"/>
    <w:rsid w:val="003F696C"/>
    <w:rsid w:val="0040029A"/>
    <w:rsid w:val="004023F9"/>
    <w:rsid w:val="00402AA8"/>
    <w:rsid w:val="00402BFB"/>
    <w:rsid w:val="00410A02"/>
    <w:rsid w:val="00413070"/>
    <w:rsid w:val="004140E7"/>
    <w:rsid w:val="00415E2E"/>
    <w:rsid w:val="00420C8A"/>
    <w:rsid w:val="00425697"/>
    <w:rsid w:val="004271D7"/>
    <w:rsid w:val="004320C1"/>
    <w:rsid w:val="0043285E"/>
    <w:rsid w:val="00436247"/>
    <w:rsid w:val="00437C40"/>
    <w:rsid w:val="0044713C"/>
    <w:rsid w:val="00451AFB"/>
    <w:rsid w:val="00453147"/>
    <w:rsid w:val="00453FA5"/>
    <w:rsid w:val="004551AC"/>
    <w:rsid w:val="00462D36"/>
    <w:rsid w:val="004631F9"/>
    <w:rsid w:val="0046465E"/>
    <w:rsid w:val="004648D0"/>
    <w:rsid w:val="0046633C"/>
    <w:rsid w:val="00466F9F"/>
    <w:rsid w:val="004711CC"/>
    <w:rsid w:val="00471DF9"/>
    <w:rsid w:val="0047371B"/>
    <w:rsid w:val="004748C8"/>
    <w:rsid w:val="00474D37"/>
    <w:rsid w:val="00483318"/>
    <w:rsid w:val="00485D16"/>
    <w:rsid w:val="00490A5B"/>
    <w:rsid w:val="004932DE"/>
    <w:rsid w:val="00494306"/>
    <w:rsid w:val="00494FC2"/>
    <w:rsid w:val="004A1225"/>
    <w:rsid w:val="004A17BF"/>
    <w:rsid w:val="004A5019"/>
    <w:rsid w:val="004B00B5"/>
    <w:rsid w:val="004B0E98"/>
    <w:rsid w:val="004B1804"/>
    <w:rsid w:val="004B23CC"/>
    <w:rsid w:val="004B3C40"/>
    <w:rsid w:val="004C0C15"/>
    <w:rsid w:val="004C7243"/>
    <w:rsid w:val="004C774E"/>
    <w:rsid w:val="004D214B"/>
    <w:rsid w:val="004D3065"/>
    <w:rsid w:val="004F0994"/>
    <w:rsid w:val="004F284F"/>
    <w:rsid w:val="004F38AB"/>
    <w:rsid w:val="004F5D16"/>
    <w:rsid w:val="004F6DA9"/>
    <w:rsid w:val="004F720C"/>
    <w:rsid w:val="004F7FCD"/>
    <w:rsid w:val="0050023B"/>
    <w:rsid w:val="005019C5"/>
    <w:rsid w:val="0050433E"/>
    <w:rsid w:val="0050625A"/>
    <w:rsid w:val="00510D3D"/>
    <w:rsid w:val="005125EF"/>
    <w:rsid w:val="005140CF"/>
    <w:rsid w:val="00514CB4"/>
    <w:rsid w:val="005159E3"/>
    <w:rsid w:val="005178BF"/>
    <w:rsid w:val="00520ACE"/>
    <w:rsid w:val="00521062"/>
    <w:rsid w:val="00522683"/>
    <w:rsid w:val="00531A79"/>
    <w:rsid w:val="005409F9"/>
    <w:rsid w:val="00542442"/>
    <w:rsid w:val="00556569"/>
    <w:rsid w:val="00557B95"/>
    <w:rsid w:val="00557F46"/>
    <w:rsid w:val="00560D6D"/>
    <w:rsid w:val="00561E5D"/>
    <w:rsid w:val="00563010"/>
    <w:rsid w:val="00563154"/>
    <w:rsid w:val="00565013"/>
    <w:rsid w:val="005677E6"/>
    <w:rsid w:val="0057203C"/>
    <w:rsid w:val="005742E5"/>
    <w:rsid w:val="00574813"/>
    <w:rsid w:val="005756D9"/>
    <w:rsid w:val="00575D9D"/>
    <w:rsid w:val="00575DE2"/>
    <w:rsid w:val="00576489"/>
    <w:rsid w:val="00580B02"/>
    <w:rsid w:val="00583A1F"/>
    <w:rsid w:val="00586657"/>
    <w:rsid w:val="00587CA6"/>
    <w:rsid w:val="00587E0A"/>
    <w:rsid w:val="00590F67"/>
    <w:rsid w:val="005912D5"/>
    <w:rsid w:val="0059215A"/>
    <w:rsid w:val="00592FDE"/>
    <w:rsid w:val="005A0B2B"/>
    <w:rsid w:val="005A2E91"/>
    <w:rsid w:val="005A3420"/>
    <w:rsid w:val="005B0BF5"/>
    <w:rsid w:val="005B2B8A"/>
    <w:rsid w:val="005B4705"/>
    <w:rsid w:val="005B4B62"/>
    <w:rsid w:val="005B58DC"/>
    <w:rsid w:val="005B6769"/>
    <w:rsid w:val="005B6FCC"/>
    <w:rsid w:val="005C17F7"/>
    <w:rsid w:val="005C2F6D"/>
    <w:rsid w:val="005C3D2B"/>
    <w:rsid w:val="005C4B6A"/>
    <w:rsid w:val="005C64DA"/>
    <w:rsid w:val="005D0E8B"/>
    <w:rsid w:val="005D3694"/>
    <w:rsid w:val="005D56B1"/>
    <w:rsid w:val="005D65A5"/>
    <w:rsid w:val="005E0125"/>
    <w:rsid w:val="005E0229"/>
    <w:rsid w:val="005E1294"/>
    <w:rsid w:val="005E3099"/>
    <w:rsid w:val="005E30FA"/>
    <w:rsid w:val="005E42E9"/>
    <w:rsid w:val="005E654A"/>
    <w:rsid w:val="005E79FB"/>
    <w:rsid w:val="005F05E2"/>
    <w:rsid w:val="005F1C77"/>
    <w:rsid w:val="005F53D1"/>
    <w:rsid w:val="00604BC4"/>
    <w:rsid w:val="00605A0D"/>
    <w:rsid w:val="00606709"/>
    <w:rsid w:val="00610229"/>
    <w:rsid w:val="00616447"/>
    <w:rsid w:val="00616BD4"/>
    <w:rsid w:val="006203D4"/>
    <w:rsid w:val="006238A5"/>
    <w:rsid w:val="00624734"/>
    <w:rsid w:val="00625F35"/>
    <w:rsid w:val="00626EB0"/>
    <w:rsid w:val="00627EB7"/>
    <w:rsid w:val="006302BE"/>
    <w:rsid w:val="006325EA"/>
    <w:rsid w:val="006360A2"/>
    <w:rsid w:val="00637FC2"/>
    <w:rsid w:val="006431FE"/>
    <w:rsid w:val="006448D0"/>
    <w:rsid w:val="00645DF6"/>
    <w:rsid w:val="00647C09"/>
    <w:rsid w:val="00651D51"/>
    <w:rsid w:val="00652C10"/>
    <w:rsid w:val="00655E6F"/>
    <w:rsid w:val="0065704B"/>
    <w:rsid w:val="006618CA"/>
    <w:rsid w:val="00662D4E"/>
    <w:rsid w:val="006667FC"/>
    <w:rsid w:val="006714DB"/>
    <w:rsid w:val="00676388"/>
    <w:rsid w:val="00676389"/>
    <w:rsid w:val="00677D8B"/>
    <w:rsid w:val="0068277C"/>
    <w:rsid w:val="00683576"/>
    <w:rsid w:val="00690405"/>
    <w:rsid w:val="0069124F"/>
    <w:rsid w:val="006939B3"/>
    <w:rsid w:val="00694F30"/>
    <w:rsid w:val="00696D80"/>
    <w:rsid w:val="006971F9"/>
    <w:rsid w:val="00697593"/>
    <w:rsid w:val="006A123E"/>
    <w:rsid w:val="006A1E1C"/>
    <w:rsid w:val="006B0354"/>
    <w:rsid w:val="006B11BA"/>
    <w:rsid w:val="006B1D39"/>
    <w:rsid w:val="006B3214"/>
    <w:rsid w:val="006B57BF"/>
    <w:rsid w:val="006B6FF9"/>
    <w:rsid w:val="006B7FB0"/>
    <w:rsid w:val="006C1B0A"/>
    <w:rsid w:val="006C35E0"/>
    <w:rsid w:val="006C3F3A"/>
    <w:rsid w:val="006C3FB7"/>
    <w:rsid w:val="006C4CA8"/>
    <w:rsid w:val="006C53EB"/>
    <w:rsid w:val="006C604D"/>
    <w:rsid w:val="006C6B27"/>
    <w:rsid w:val="006C6DB0"/>
    <w:rsid w:val="006D03F1"/>
    <w:rsid w:val="006D0F6A"/>
    <w:rsid w:val="006D23AF"/>
    <w:rsid w:val="006D314F"/>
    <w:rsid w:val="006D475D"/>
    <w:rsid w:val="006D5588"/>
    <w:rsid w:val="006D5D04"/>
    <w:rsid w:val="006E09E7"/>
    <w:rsid w:val="006E3698"/>
    <w:rsid w:val="006E707E"/>
    <w:rsid w:val="006F0CE7"/>
    <w:rsid w:val="006F1B90"/>
    <w:rsid w:val="006F5340"/>
    <w:rsid w:val="00700A85"/>
    <w:rsid w:val="00700D58"/>
    <w:rsid w:val="007011CC"/>
    <w:rsid w:val="0070293E"/>
    <w:rsid w:val="00705B66"/>
    <w:rsid w:val="007079CC"/>
    <w:rsid w:val="00715C59"/>
    <w:rsid w:val="00720E9C"/>
    <w:rsid w:val="007238BB"/>
    <w:rsid w:val="007245D1"/>
    <w:rsid w:val="00725984"/>
    <w:rsid w:val="00727507"/>
    <w:rsid w:val="00731185"/>
    <w:rsid w:val="0073447C"/>
    <w:rsid w:val="0073667C"/>
    <w:rsid w:val="00737584"/>
    <w:rsid w:val="00737850"/>
    <w:rsid w:val="00737B1A"/>
    <w:rsid w:val="00737D2F"/>
    <w:rsid w:val="0074030D"/>
    <w:rsid w:val="00741B04"/>
    <w:rsid w:val="00743899"/>
    <w:rsid w:val="0074391A"/>
    <w:rsid w:val="00746167"/>
    <w:rsid w:val="0074655A"/>
    <w:rsid w:val="007469D9"/>
    <w:rsid w:val="00746EFB"/>
    <w:rsid w:val="007477FF"/>
    <w:rsid w:val="0075030A"/>
    <w:rsid w:val="00751161"/>
    <w:rsid w:val="00751A2D"/>
    <w:rsid w:val="00755D25"/>
    <w:rsid w:val="00760D8A"/>
    <w:rsid w:val="00761DBB"/>
    <w:rsid w:val="007673A9"/>
    <w:rsid w:val="00770C2C"/>
    <w:rsid w:val="00772CA7"/>
    <w:rsid w:val="00773996"/>
    <w:rsid w:val="0077506A"/>
    <w:rsid w:val="007759F3"/>
    <w:rsid w:val="007805CF"/>
    <w:rsid w:val="00781D2F"/>
    <w:rsid w:val="00786D9E"/>
    <w:rsid w:val="00791E54"/>
    <w:rsid w:val="00793C06"/>
    <w:rsid w:val="007A177B"/>
    <w:rsid w:val="007A5918"/>
    <w:rsid w:val="007B13DE"/>
    <w:rsid w:val="007B2E3D"/>
    <w:rsid w:val="007B3029"/>
    <w:rsid w:val="007B5754"/>
    <w:rsid w:val="007B5A59"/>
    <w:rsid w:val="007B6CEC"/>
    <w:rsid w:val="007C056C"/>
    <w:rsid w:val="007C290F"/>
    <w:rsid w:val="007C3555"/>
    <w:rsid w:val="007C543D"/>
    <w:rsid w:val="007C5AB8"/>
    <w:rsid w:val="007D1026"/>
    <w:rsid w:val="007D5C12"/>
    <w:rsid w:val="007D6702"/>
    <w:rsid w:val="007E48D8"/>
    <w:rsid w:val="007E6DBC"/>
    <w:rsid w:val="007E716E"/>
    <w:rsid w:val="007E7F21"/>
    <w:rsid w:val="007F25FD"/>
    <w:rsid w:val="00800225"/>
    <w:rsid w:val="0080092E"/>
    <w:rsid w:val="00801CAF"/>
    <w:rsid w:val="0080463F"/>
    <w:rsid w:val="008053BE"/>
    <w:rsid w:val="00811C09"/>
    <w:rsid w:val="00812416"/>
    <w:rsid w:val="00813B78"/>
    <w:rsid w:val="00813FE5"/>
    <w:rsid w:val="00816267"/>
    <w:rsid w:val="0082202D"/>
    <w:rsid w:val="00824D12"/>
    <w:rsid w:val="008275CA"/>
    <w:rsid w:val="008467D7"/>
    <w:rsid w:val="00847905"/>
    <w:rsid w:val="0085098E"/>
    <w:rsid w:val="00853B71"/>
    <w:rsid w:val="008555C0"/>
    <w:rsid w:val="00857C74"/>
    <w:rsid w:val="0086068B"/>
    <w:rsid w:val="00866222"/>
    <w:rsid w:val="00867D8B"/>
    <w:rsid w:val="00870C60"/>
    <w:rsid w:val="0087127B"/>
    <w:rsid w:val="0087188E"/>
    <w:rsid w:val="00874213"/>
    <w:rsid w:val="00875107"/>
    <w:rsid w:val="00880D14"/>
    <w:rsid w:val="008917FE"/>
    <w:rsid w:val="00891FD4"/>
    <w:rsid w:val="00892B46"/>
    <w:rsid w:val="008957B4"/>
    <w:rsid w:val="00897BC5"/>
    <w:rsid w:val="00897F7E"/>
    <w:rsid w:val="00897F89"/>
    <w:rsid w:val="008A1314"/>
    <w:rsid w:val="008A251C"/>
    <w:rsid w:val="008B02B7"/>
    <w:rsid w:val="008B1670"/>
    <w:rsid w:val="008B2AF9"/>
    <w:rsid w:val="008B4063"/>
    <w:rsid w:val="008C1EF5"/>
    <w:rsid w:val="008C20BD"/>
    <w:rsid w:val="008C2702"/>
    <w:rsid w:val="008C376E"/>
    <w:rsid w:val="008C3917"/>
    <w:rsid w:val="008C6AD0"/>
    <w:rsid w:val="008C6FF6"/>
    <w:rsid w:val="008C7F6A"/>
    <w:rsid w:val="008D0DC6"/>
    <w:rsid w:val="008D3097"/>
    <w:rsid w:val="008D73EF"/>
    <w:rsid w:val="008E3909"/>
    <w:rsid w:val="008E5079"/>
    <w:rsid w:val="008E5AFC"/>
    <w:rsid w:val="008E6215"/>
    <w:rsid w:val="008E6319"/>
    <w:rsid w:val="008E68DB"/>
    <w:rsid w:val="008F3218"/>
    <w:rsid w:val="008F3507"/>
    <w:rsid w:val="008F394D"/>
    <w:rsid w:val="0090073B"/>
    <w:rsid w:val="009033BF"/>
    <w:rsid w:val="00920551"/>
    <w:rsid w:val="00923576"/>
    <w:rsid w:val="009259E8"/>
    <w:rsid w:val="00925BB5"/>
    <w:rsid w:val="00927D3F"/>
    <w:rsid w:val="00930888"/>
    <w:rsid w:val="00931876"/>
    <w:rsid w:val="00932337"/>
    <w:rsid w:val="00932DF9"/>
    <w:rsid w:val="00933A0C"/>
    <w:rsid w:val="00934E22"/>
    <w:rsid w:val="009373DE"/>
    <w:rsid w:val="00937A87"/>
    <w:rsid w:val="009414CA"/>
    <w:rsid w:val="009418ED"/>
    <w:rsid w:val="009427C0"/>
    <w:rsid w:val="009429E8"/>
    <w:rsid w:val="009459E6"/>
    <w:rsid w:val="00945B37"/>
    <w:rsid w:val="00950C10"/>
    <w:rsid w:val="00951574"/>
    <w:rsid w:val="00952967"/>
    <w:rsid w:val="00954D29"/>
    <w:rsid w:val="00954F4E"/>
    <w:rsid w:val="00957686"/>
    <w:rsid w:val="0096169E"/>
    <w:rsid w:val="0096216F"/>
    <w:rsid w:val="00966113"/>
    <w:rsid w:val="0096626D"/>
    <w:rsid w:val="00974912"/>
    <w:rsid w:val="0097548C"/>
    <w:rsid w:val="00980EC7"/>
    <w:rsid w:val="009831A6"/>
    <w:rsid w:val="00983DD7"/>
    <w:rsid w:val="00984677"/>
    <w:rsid w:val="0098541D"/>
    <w:rsid w:val="00986FBA"/>
    <w:rsid w:val="00987823"/>
    <w:rsid w:val="00990A89"/>
    <w:rsid w:val="00991D5C"/>
    <w:rsid w:val="00992256"/>
    <w:rsid w:val="00995D21"/>
    <w:rsid w:val="0099654D"/>
    <w:rsid w:val="00997375"/>
    <w:rsid w:val="00997453"/>
    <w:rsid w:val="009A13AB"/>
    <w:rsid w:val="009A1BE4"/>
    <w:rsid w:val="009A2DDA"/>
    <w:rsid w:val="009A67DD"/>
    <w:rsid w:val="009A7A9D"/>
    <w:rsid w:val="009B01B9"/>
    <w:rsid w:val="009B11C8"/>
    <w:rsid w:val="009B1A02"/>
    <w:rsid w:val="009B2166"/>
    <w:rsid w:val="009B49C8"/>
    <w:rsid w:val="009B58A5"/>
    <w:rsid w:val="009B679E"/>
    <w:rsid w:val="009B7308"/>
    <w:rsid w:val="009C0233"/>
    <w:rsid w:val="009C05AE"/>
    <w:rsid w:val="009C1A7F"/>
    <w:rsid w:val="009C234D"/>
    <w:rsid w:val="009C3B89"/>
    <w:rsid w:val="009D15BC"/>
    <w:rsid w:val="009D1FD1"/>
    <w:rsid w:val="009D360B"/>
    <w:rsid w:val="009D3695"/>
    <w:rsid w:val="009D3B48"/>
    <w:rsid w:val="009D40DF"/>
    <w:rsid w:val="009D44DA"/>
    <w:rsid w:val="009E354D"/>
    <w:rsid w:val="009E3BC5"/>
    <w:rsid w:val="009E5B96"/>
    <w:rsid w:val="00A0194F"/>
    <w:rsid w:val="00A01C97"/>
    <w:rsid w:val="00A04C79"/>
    <w:rsid w:val="00A05A83"/>
    <w:rsid w:val="00A05CD7"/>
    <w:rsid w:val="00A06A4E"/>
    <w:rsid w:val="00A10F83"/>
    <w:rsid w:val="00A11416"/>
    <w:rsid w:val="00A12180"/>
    <w:rsid w:val="00A12492"/>
    <w:rsid w:val="00A14612"/>
    <w:rsid w:val="00A147F4"/>
    <w:rsid w:val="00A14EF3"/>
    <w:rsid w:val="00A172F2"/>
    <w:rsid w:val="00A17C57"/>
    <w:rsid w:val="00A22D84"/>
    <w:rsid w:val="00A239A7"/>
    <w:rsid w:val="00A23CEF"/>
    <w:rsid w:val="00A25DAF"/>
    <w:rsid w:val="00A2794F"/>
    <w:rsid w:val="00A327E9"/>
    <w:rsid w:val="00A35E3F"/>
    <w:rsid w:val="00A3604E"/>
    <w:rsid w:val="00A36144"/>
    <w:rsid w:val="00A40B57"/>
    <w:rsid w:val="00A41A4A"/>
    <w:rsid w:val="00A41A84"/>
    <w:rsid w:val="00A4723A"/>
    <w:rsid w:val="00A51A4D"/>
    <w:rsid w:val="00A54156"/>
    <w:rsid w:val="00A616B0"/>
    <w:rsid w:val="00A61BA2"/>
    <w:rsid w:val="00A629D0"/>
    <w:rsid w:val="00A62ECE"/>
    <w:rsid w:val="00A63DF4"/>
    <w:rsid w:val="00A6681F"/>
    <w:rsid w:val="00A66A9A"/>
    <w:rsid w:val="00A670D2"/>
    <w:rsid w:val="00A722C2"/>
    <w:rsid w:val="00A730FD"/>
    <w:rsid w:val="00A74BC1"/>
    <w:rsid w:val="00A74D85"/>
    <w:rsid w:val="00A7635D"/>
    <w:rsid w:val="00A809A5"/>
    <w:rsid w:val="00A80C73"/>
    <w:rsid w:val="00A83D41"/>
    <w:rsid w:val="00A92397"/>
    <w:rsid w:val="00A92B56"/>
    <w:rsid w:val="00A95960"/>
    <w:rsid w:val="00A975BD"/>
    <w:rsid w:val="00AA07E7"/>
    <w:rsid w:val="00AA0A1D"/>
    <w:rsid w:val="00AA6917"/>
    <w:rsid w:val="00AA7DFA"/>
    <w:rsid w:val="00AB36A3"/>
    <w:rsid w:val="00AB3CC7"/>
    <w:rsid w:val="00AC4481"/>
    <w:rsid w:val="00AC71A9"/>
    <w:rsid w:val="00AD18FC"/>
    <w:rsid w:val="00AD3D04"/>
    <w:rsid w:val="00AD5E94"/>
    <w:rsid w:val="00AE116F"/>
    <w:rsid w:val="00AE725F"/>
    <w:rsid w:val="00AE7A6B"/>
    <w:rsid w:val="00AF23E7"/>
    <w:rsid w:val="00AF42CD"/>
    <w:rsid w:val="00AF5421"/>
    <w:rsid w:val="00AF6D63"/>
    <w:rsid w:val="00AF7FF8"/>
    <w:rsid w:val="00B0016A"/>
    <w:rsid w:val="00B01366"/>
    <w:rsid w:val="00B019D8"/>
    <w:rsid w:val="00B02A12"/>
    <w:rsid w:val="00B055D7"/>
    <w:rsid w:val="00B05A16"/>
    <w:rsid w:val="00B075B7"/>
    <w:rsid w:val="00B1083A"/>
    <w:rsid w:val="00B10C38"/>
    <w:rsid w:val="00B113AF"/>
    <w:rsid w:val="00B12487"/>
    <w:rsid w:val="00B13F51"/>
    <w:rsid w:val="00B1437C"/>
    <w:rsid w:val="00B143AE"/>
    <w:rsid w:val="00B168FD"/>
    <w:rsid w:val="00B2149F"/>
    <w:rsid w:val="00B21CF2"/>
    <w:rsid w:val="00B316DC"/>
    <w:rsid w:val="00B34805"/>
    <w:rsid w:val="00B37391"/>
    <w:rsid w:val="00B46904"/>
    <w:rsid w:val="00B50939"/>
    <w:rsid w:val="00B50F68"/>
    <w:rsid w:val="00B54529"/>
    <w:rsid w:val="00B62E38"/>
    <w:rsid w:val="00B70386"/>
    <w:rsid w:val="00B71462"/>
    <w:rsid w:val="00B71F52"/>
    <w:rsid w:val="00B7602A"/>
    <w:rsid w:val="00B802C5"/>
    <w:rsid w:val="00B80386"/>
    <w:rsid w:val="00B81691"/>
    <w:rsid w:val="00B86B54"/>
    <w:rsid w:val="00B92338"/>
    <w:rsid w:val="00B96580"/>
    <w:rsid w:val="00B96D22"/>
    <w:rsid w:val="00B972E1"/>
    <w:rsid w:val="00B97899"/>
    <w:rsid w:val="00B97A4F"/>
    <w:rsid w:val="00BA39DC"/>
    <w:rsid w:val="00BA65D4"/>
    <w:rsid w:val="00BA7CFA"/>
    <w:rsid w:val="00BB0D46"/>
    <w:rsid w:val="00BB2B74"/>
    <w:rsid w:val="00BB7FA2"/>
    <w:rsid w:val="00BD1A07"/>
    <w:rsid w:val="00BD23D9"/>
    <w:rsid w:val="00BD2A7C"/>
    <w:rsid w:val="00BD5E77"/>
    <w:rsid w:val="00BE0018"/>
    <w:rsid w:val="00BE0E59"/>
    <w:rsid w:val="00BE47AA"/>
    <w:rsid w:val="00BE5436"/>
    <w:rsid w:val="00BF1CFA"/>
    <w:rsid w:val="00BF4C1F"/>
    <w:rsid w:val="00BF6B3D"/>
    <w:rsid w:val="00C0390B"/>
    <w:rsid w:val="00C05208"/>
    <w:rsid w:val="00C070B8"/>
    <w:rsid w:val="00C116C8"/>
    <w:rsid w:val="00C145FB"/>
    <w:rsid w:val="00C14A53"/>
    <w:rsid w:val="00C176EA"/>
    <w:rsid w:val="00C21EBB"/>
    <w:rsid w:val="00C23C49"/>
    <w:rsid w:val="00C25A52"/>
    <w:rsid w:val="00C27A06"/>
    <w:rsid w:val="00C41A01"/>
    <w:rsid w:val="00C43E41"/>
    <w:rsid w:val="00C50045"/>
    <w:rsid w:val="00C520E7"/>
    <w:rsid w:val="00C5656C"/>
    <w:rsid w:val="00C6115A"/>
    <w:rsid w:val="00C617CF"/>
    <w:rsid w:val="00C63644"/>
    <w:rsid w:val="00C66EB1"/>
    <w:rsid w:val="00C6792C"/>
    <w:rsid w:val="00C71AD6"/>
    <w:rsid w:val="00C72818"/>
    <w:rsid w:val="00C72F20"/>
    <w:rsid w:val="00C7489F"/>
    <w:rsid w:val="00C75F13"/>
    <w:rsid w:val="00C86485"/>
    <w:rsid w:val="00C867CA"/>
    <w:rsid w:val="00C911BE"/>
    <w:rsid w:val="00C9147C"/>
    <w:rsid w:val="00C94102"/>
    <w:rsid w:val="00CA3A84"/>
    <w:rsid w:val="00CA5020"/>
    <w:rsid w:val="00CA7890"/>
    <w:rsid w:val="00CB1ACB"/>
    <w:rsid w:val="00CB6935"/>
    <w:rsid w:val="00CB7BAB"/>
    <w:rsid w:val="00CC1677"/>
    <w:rsid w:val="00CC1788"/>
    <w:rsid w:val="00CC183A"/>
    <w:rsid w:val="00CC1AC7"/>
    <w:rsid w:val="00CC672F"/>
    <w:rsid w:val="00CD08B0"/>
    <w:rsid w:val="00CD3175"/>
    <w:rsid w:val="00CD477A"/>
    <w:rsid w:val="00CE4071"/>
    <w:rsid w:val="00CE40A6"/>
    <w:rsid w:val="00CE5D66"/>
    <w:rsid w:val="00CE7AAC"/>
    <w:rsid w:val="00CF1374"/>
    <w:rsid w:val="00CF1C02"/>
    <w:rsid w:val="00CF2CA9"/>
    <w:rsid w:val="00CF5920"/>
    <w:rsid w:val="00CF59F2"/>
    <w:rsid w:val="00D01FFC"/>
    <w:rsid w:val="00D02A18"/>
    <w:rsid w:val="00D06699"/>
    <w:rsid w:val="00D07604"/>
    <w:rsid w:val="00D11C1A"/>
    <w:rsid w:val="00D140BC"/>
    <w:rsid w:val="00D2248D"/>
    <w:rsid w:val="00D2378E"/>
    <w:rsid w:val="00D24E34"/>
    <w:rsid w:val="00D25A4D"/>
    <w:rsid w:val="00D25CA3"/>
    <w:rsid w:val="00D27C42"/>
    <w:rsid w:val="00D36EDB"/>
    <w:rsid w:val="00D40677"/>
    <w:rsid w:val="00D40EFA"/>
    <w:rsid w:val="00D47737"/>
    <w:rsid w:val="00D47A8D"/>
    <w:rsid w:val="00D53099"/>
    <w:rsid w:val="00D54220"/>
    <w:rsid w:val="00D62534"/>
    <w:rsid w:val="00D64717"/>
    <w:rsid w:val="00D72838"/>
    <w:rsid w:val="00D74AD5"/>
    <w:rsid w:val="00D77C16"/>
    <w:rsid w:val="00D80FA3"/>
    <w:rsid w:val="00D81523"/>
    <w:rsid w:val="00D837ED"/>
    <w:rsid w:val="00D860BD"/>
    <w:rsid w:val="00D86B6C"/>
    <w:rsid w:val="00D90BC2"/>
    <w:rsid w:val="00D91739"/>
    <w:rsid w:val="00D91DFB"/>
    <w:rsid w:val="00D922FC"/>
    <w:rsid w:val="00D924E6"/>
    <w:rsid w:val="00D95509"/>
    <w:rsid w:val="00DA131C"/>
    <w:rsid w:val="00DA151B"/>
    <w:rsid w:val="00DA2D4F"/>
    <w:rsid w:val="00DA46E8"/>
    <w:rsid w:val="00DA5EF8"/>
    <w:rsid w:val="00DA7235"/>
    <w:rsid w:val="00DA744B"/>
    <w:rsid w:val="00DB0782"/>
    <w:rsid w:val="00DB07F5"/>
    <w:rsid w:val="00DB32D7"/>
    <w:rsid w:val="00DB4C52"/>
    <w:rsid w:val="00DB594B"/>
    <w:rsid w:val="00DB7571"/>
    <w:rsid w:val="00DC1B23"/>
    <w:rsid w:val="00DC3C8F"/>
    <w:rsid w:val="00DC57AE"/>
    <w:rsid w:val="00DC7FFE"/>
    <w:rsid w:val="00DD40FF"/>
    <w:rsid w:val="00DD4178"/>
    <w:rsid w:val="00DD48AC"/>
    <w:rsid w:val="00DD65E2"/>
    <w:rsid w:val="00DE0064"/>
    <w:rsid w:val="00DE12E8"/>
    <w:rsid w:val="00DE46F4"/>
    <w:rsid w:val="00DF01DB"/>
    <w:rsid w:val="00DF385A"/>
    <w:rsid w:val="00DF5E6B"/>
    <w:rsid w:val="00DF5ED7"/>
    <w:rsid w:val="00DF5F9A"/>
    <w:rsid w:val="00DF75FD"/>
    <w:rsid w:val="00DF7FF1"/>
    <w:rsid w:val="00E001B9"/>
    <w:rsid w:val="00E047FF"/>
    <w:rsid w:val="00E04D21"/>
    <w:rsid w:val="00E055F8"/>
    <w:rsid w:val="00E1042A"/>
    <w:rsid w:val="00E11CCD"/>
    <w:rsid w:val="00E14321"/>
    <w:rsid w:val="00E15F8A"/>
    <w:rsid w:val="00E17762"/>
    <w:rsid w:val="00E179F7"/>
    <w:rsid w:val="00E2698D"/>
    <w:rsid w:val="00E27688"/>
    <w:rsid w:val="00E31034"/>
    <w:rsid w:val="00E3220C"/>
    <w:rsid w:val="00E35BBE"/>
    <w:rsid w:val="00E35BD0"/>
    <w:rsid w:val="00E35F2E"/>
    <w:rsid w:val="00E41C0D"/>
    <w:rsid w:val="00E44302"/>
    <w:rsid w:val="00E44C7A"/>
    <w:rsid w:val="00E45069"/>
    <w:rsid w:val="00E472DF"/>
    <w:rsid w:val="00E476FA"/>
    <w:rsid w:val="00E5062C"/>
    <w:rsid w:val="00E52500"/>
    <w:rsid w:val="00E56329"/>
    <w:rsid w:val="00E56784"/>
    <w:rsid w:val="00E57091"/>
    <w:rsid w:val="00E57226"/>
    <w:rsid w:val="00E574C7"/>
    <w:rsid w:val="00E61A3E"/>
    <w:rsid w:val="00E621D0"/>
    <w:rsid w:val="00E65A84"/>
    <w:rsid w:val="00E67B9B"/>
    <w:rsid w:val="00E70EFC"/>
    <w:rsid w:val="00E712A5"/>
    <w:rsid w:val="00E75979"/>
    <w:rsid w:val="00E862BB"/>
    <w:rsid w:val="00E87983"/>
    <w:rsid w:val="00E90C0B"/>
    <w:rsid w:val="00E91FEA"/>
    <w:rsid w:val="00E93056"/>
    <w:rsid w:val="00E95BB9"/>
    <w:rsid w:val="00E96B12"/>
    <w:rsid w:val="00EA3273"/>
    <w:rsid w:val="00EA5D60"/>
    <w:rsid w:val="00EB0233"/>
    <w:rsid w:val="00EB49E9"/>
    <w:rsid w:val="00EB50A6"/>
    <w:rsid w:val="00EB6941"/>
    <w:rsid w:val="00EB70CC"/>
    <w:rsid w:val="00EC080F"/>
    <w:rsid w:val="00EC1466"/>
    <w:rsid w:val="00EC17B4"/>
    <w:rsid w:val="00EC181C"/>
    <w:rsid w:val="00EC2A60"/>
    <w:rsid w:val="00EC6FF4"/>
    <w:rsid w:val="00ED1793"/>
    <w:rsid w:val="00ED1D09"/>
    <w:rsid w:val="00ED3929"/>
    <w:rsid w:val="00ED56BC"/>
    <w:rsid w:val="00ED6308"/>
    <w:rsid w:val="00ED7E5D"/>
    <w:rsid w:val="00EE0E31"/>
    <w:rsid w:val="00EE273C"/>
    <w:rsid w:val="00EE4723"/>
    <w:rsid w:val="00EE7141"/>
    <w:rsid w:val="00EE78A6"/>
    <w:rsid w:val="00EE7B87"/>
    <w:rsid w:val="00EE7D63"/>
    <w:rsid w:val="00EF0085"/>
    <w:rsid w:val="00EF2031"/>
    <w:rsid w:val="00F02B3E"/>
    <w:rsid w:val="00F03859"/>
    <w:rsid w:val="00F042A5"/>
    <w:rsid w:val="00F05951"/>
    <w:rsid w:val="00F074A5"/>
    <w:rsid w:val="00F12FD1"/>
    <w:rsid w:val="00F17F79"/>
    <w:rsid w:val="00F23D67"/>
    <w:rsid w:val="00F23F1B"/>
    <w:rsid w:val="00F24F58"/>
    <w:rsid w:val="00F25583"/>
    <w:rsid w:val="00F32FB3"/>
    <w:rsid w:val="00F33017"/>
    <w:rsid w:val="00F3314A"/>
    <w:rsid w:val="00F34AE6"/>
    <w:rsid w:val="00F35E50"/>
    <w:rsid w:val="00F37D16"/>
    <w:rsid w:val="00F42B78"/>
    <w:rsid w:val="00F43BDB"/>
    <w:rsid w:val="00F4553D"/>
    <w:rsid w:val="00F4632B"/>
    <w:rsid w:val="00F472CF"/>
    <w:rsid w:val="00F50236"/>
    <w:rsid w:val="00F566B7"/>
    <w:rsid w:val="00F57698"/>
    <w:rsid w:val="00F60CD0"/>
    <w:rsid w:val="00F617FE"/>
    <w:rsid w:val="00F638AC"/>
    <w:rsid w:val="00F71E5D"/>
    <w:rsid w:val="00F723B0"/>
    <w:rsid w:val="00F75CC5"/>
    <w:rsid w:val="00F7772D"/>
    <w:rsid w:val="00F800B8"/>
    <w:rsid w:val="00F81CDC"/>
    <w:rsid w:val="00F81FA1"/>
    <w:rsid w:val="00F840D6"/>
    <w:rsid w:val="00F85964"/>
    <w:rsid w:val="00F86F99"/>
    <w:rsid w:val="00F90475"/>
    <w:rsid w:val="00F91C30"/>
    <w:rsid w:val="00F92720"/>
    <w:rsid w:val="00F97909"/>
    <w:rsid w:val="00FA12DC"/>
    <w:rsid w:val="00FA1CC6"/>
    <w:rsid w:val="00FA6B2F"/>
    <w:rsid w:val="00FB25F8"/>
    <w:rsid w:val="00FB3958"/>
    <w:rsid w:val="00FB5E07"/>
    <w:rsid w:val="00FB7223"/>
    <w:rsid w:val="00FB75E2"/>
    <w:rsid w:val="00FC347E"/>
    <w:rsid w:val="00FC4226"/>
    <w:rsid w:val="00FD030A"/>
    <w:rsid w:val="00FD13F8"/>
    <w:rsid w:val="00FD3888"/>
    <w:rsid w:val="00FD3DF6"/>
    <w:rsid w:val="00FE1E31"/>
    <w:rsid w:val="00FE2CD8"/>
    <w:rsid w:val="00FE2E8A"/>
    <w:rsid w:val="00FF5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029BC9"/>
  <w15:chartTrackingRefBased/>
  <w15:docId w15:val="{88081870-CCA3-4BDB-8E0C-ABCC4C1AF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aliases w:val="intoduction,Outline1,rozdzial"/>
    <w:basedOn w:val="Normal"/>
    <w:next w:val="Normal"/>
    <w:qFormat/>
    <w:pPr>
      <w:keepNext/>
      <w:autoSpaceDE w:val="0"/>
      <w:autoSpaceDN w:val="0"/>
      <w:adjustRightInd w:val="0"/>
      <w:jc w:val="both"/>
      <w:outlineLvl w:val="0"/>
    </w:pPr>
    <w:rPr>
      <w:rFonts w:ascii="Trebuchet MS" w:hAnsi="Trebuchet MS"/>
      <w:b/>
      <w:bCs/>
      <w:szCs w:val="19"/>
    </w:rPr>
  </w:style>
  <w:style w:type="paragraph" w:styleId="Heading2">
    <w:name w:val="heading 2"/>
    <w:basedOn w:val="Normal"/>
    <w:next w:val="Normal"/>
    <w:qFormat/>
    <w:pPr>
      <w:keepNext/>
      <w:autoSpaceDE w:val="0"/>
      <w:autoSpaceDN w:val="0"/>
      <w:adjustRightInd w:val="0"/>
      <w:outlineLvl w:val="1"/>
    </w:pPr>
    <w:rPr>
      <w:rFonts w:ascii="Trebuchet MS" w:hAnsi="Trebuchet MS"/>
      <w:b/>
      <w:bCs/>
      <w:szCs w:val="20"/>
    </w:rPr>
  </w:style>
  <w:style w:type="paragraph" w:styleId="Heading3">
    <w:name w:val="heading 3"/>
    <w:basedOn w:val="Normal"/>
    <w:next w:val="Normal"/>
    <w:qFormat/>
    <w:pPr>
      <w:keepNext/>
      <w:autoSpaceDE w:val="0"/>
      <w:autoSpaceDN w:val="0"/>
      <w:adjustRightInd w:val="0"/>
      <w:outlineLvl w:val="2"/>
    </w:pPr>
    <w:rPr>
      <w:rFonts w:ascii="Trebuchet MS" w:hAnsi="Trebuchet MS"/>
      <w:b/>
      <w:bCs/>
      <w:sz w:val="22"/>
      <w:szCs w:val="20"/>
    </w:rPr>
  </w:style>
  <w:style w:type="paragraph" w:styleId="Heading4">
    <w:name w:val="heading 4"/>
    <w:basedOn w:val="Normal"/>
    <w:next w:val="Normal"/>
    <w:qFormat/>
    <w:pPr>
      <w:keepNext/>
      <w:widowControl w:val="0"/>
      <w:spacing w:before="120"/>
      <w:jc w:val="both"/>
      <w:outlineLvl w:val="3"/>
    </w:pPr>
    <w:rPr>
      <w:rFonts w:ascii="Trebuchet MS" w:hAnsi="Trebuchet MS"/>
      <w:b/>
      <w:bCs/>
      <w:u w:val="single"/>
    </w:rPr>
  </w:style>
  <w:style w:type="paragraph" w:styleId="Heading5">
    <w:name w:val="heading 5"/>
    <w:basedOn w:val="Normal"/>
    <w:next w:val="Normal"/>
    <w:qFormat/>
    <w:pPr>
      <w:keepNext/>
      <w:jc w:val="center"/>
      <w:outlineLvl w:val="4"/>
    </w:pPr>
    <w:rPr>
      <w:rFonts w:ascii="Trebuchet MS" w:hAnsi="Trebuchet MS"/>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rebuchet MS" w:hAnsi="Trebuchet MS"/>
      <w:b/>
      <w:bCs/>
      <w:sz w:val="52"/>
    </w:rPr>
  </w:style>
  <w:style w:type="paragraph" w:styleId="BodyText">
    <w:name w:val="Body Text"/>
    <w:basedOn w:val="Normal"/>
    <w:pPr>
      <w:jc w:val="center"/>
    </w:pPr>
    <w:rPr>
      <w:rFonts w:ascii="Trebuchet MS" w:hAnsi="Trebuchet MS"/>
      <w:b/>
      <w:bCs/>
      <w:sz w:val="48"/>
    </w:rPr>
  </w:style>
  <w:style w:type="paragraph" w:customStyle="1" w:styleId="xl31">
    <w:name w:val="xl31"/>
    <w:basedOn w:val="Normal"/>
    <w:pPr>
      <w:spacing w:before="100" w:beforeAutospacing="1" w:after="100" w:afterAutospacing="1"/>
      <w:jc w:val="both"/>
    </w:pPr>
    <w:rPr>
      <w:rFonts w:eastAsia="Arial Unicode MS"/>
    </w:rPr>
  </w:style>
  <w:style w:type="paragraph" w:styleId="BodyText2">
    <w:name w:val="Body Text 2"/>
    <w:basedOn w:val="Normal"/>
    <w:rPr>
      <w:b/>
      <w:bCs/>
      <w:sz w:val="2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NormalWeb">
    <w:name w:val="Normal (Web)"/>
    <w:basedOn w:val="Normal"/>
    <w:unhideWhenUsed/>
    <w:pPr>
      <w:spacing w:before="100" w:beforeAutospacing="1" w:after="100" w:afterAutospacing="1"/>
    </w:pPr>
    <w:rPr>
      <w:rFonts w:ascii="Comic Sans MS" w:hAnsi="Comic Sans MS"/>
      <w:color w:val="663300"/>
      <w:lang w:val="ro-RO" w:eastAsia="ro-RO"/>
    </w:rPr>
  </w:style>
  <w:style w:type="paragraph" w:customStyle="1" w:styleId="xl34">
    <w:name w:val="xl34"/>
    <w:basedOn w:val="Normal"/>
    <w:pPr>
      <w:pBdr>
        <w:left w:val="single" w:sz="4" w:space="0" w:color="auto"/>
        <w:bottom w:val="single" w:sz="4" w:space="0" w:color="auto"/>
        <w:right w:val="single" w:sz="4" w:space="0" w:color="auto"/>
      </w:pBdr>
      <w:spacing w:before="100" w:beforeAutospacing="1" w:after="100" w:afterAutospacing="1"/>
    </w:pPr>
    <w:rPr>
      <w:rFonts w:ascii="Arial" w:hAnsi="Arial" w:cs="Arial"/>
      <w:b/>
      <w:bCs/>
      <w:lang w:val="fr-FR" w:eastAsia="fr-FR"/>
    </w:rPr>
  </w:style>
  <w:style w:type="paragraph" w:customStyle="1" w:styleId="Address">
    <w:name w:val="Address"/>
    <w:basedOn w:val="Normal"/>
    <w:rPr>
      <w:szCs w:val="20"/>
      <w:lang w:val="ro-RO" w:eastAsia="fr-FR"/>
    </w:rPr>
  </w:style>
  <w:style w:type="character" w:styleId="PageNumber">
    <w:name w:val="page number"/>
    <w:basedOn w:val="DefaultParagraphFont"/>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rsid w:val="007D1026"/>
    <w:rPr>
      <w:rFonts w:ascii="Tahoma" w:hAnsi="Tahoma" w:cs="Tahoma"/>
      <w:sz w:val="16"/>
      <w:szCs w:val="16"/>
    </w:rPr>
  </w:style>
  <w:style w:type="character" w:customStyle="1" w:styleId="BalloonTextChar">
    <w:name w:val="Balloon Text Char"/>
    <w:link w:val="BalloonText"/>
    <w:rsid w:val="007D1026"/>
    <w:rPr>
      <w:rFonts w:ascii="Tahoma" w:hAnsi="Tahoma" w:cs="Tahoma"/>
      <w:sz w:val="16"/>
      <w:szCs w:val="16"/>
    </w:rPr>
  </w:style>
  <w:style w:type="paragraph" w:customStyle="1" w:styleId="CM1">
    <w:name w:val="CM1"/>
    <w:basedOn w:val="Normal"/>
    <w:next w:val="Normal"/>
    <w:uiPriority w:val="99"/>
    <w:rsid w:val="00122FCF"/>
    <w:pPr>
      <w:autoSpaceDE w:val="0"/>
      <w:autoSpaceDN w:val="0"/>
      <w:adjustRightInd w:val="0"/>
    </w:pPr>
    <w:rPr>
      <w:rFonts w:ascii="EUAlbertina" w:hAnsi="EUAlbertina"/>
    </w:rPr>
  </w:style>
  <w:style w:type="paragraph" w:customStyle="1" w:styleId="CM3">
    <w:name w:val="CM3"/>
    <w:basedOn w:val="Normal"/>
    <w:next w:val="Normal"/>
    <w:uiPriority w:val="99"/>
    <w:rsid w:val="00122FCF"/>
    <w:pPr>
      <w:autoSpaceDE w:val="0"/>
      <w:autoSpaceDN w:val="0"/>
      <w:adjustRightInd w:val="0"/>
    </w:pPr>
    <w:rPr>
      <w:rFonts w:ascii="EUAlbertina" w:hAnsi="EUAlbertina"/>
    </w:rPr>
  </w:style>
  <w:style w:type="paragraph" w:customStyle="1" w:styleId="CM4">
    <w:name w:val="CM4"/>
    <w:basedOn w:val="Normal"/>
    <w:next w:val="Normal"/>
    <w:uiPriority w:val="99"/>
    <w:rsid w:val="00122FCF"/>
    <w:pPr>
      <w:autoSpaceDE w:val="0"/>
      <w:autoSpaceDN w:val="0"/>
      <w:adjustRightInd w:val="0"/>
    </w:pPr>
    <w:rPr>
      <w:rFonts w:ascii="EUAlbertina" w:hAnsi="EUAlbertina"/>
    </w:rPr>
  </w:style>
  <w:style w:type="paragraph" w:customStyle="1" w:styleId="Default">
    <w:name w:val="Default"/>
    <w:rsid w:val="00C23C49"/>
    <w:pPr>
      <w:autoSpaceDE w:val="0"/>
      <w:autoSpaceDN w:val="0"/>
      <w:adjustRightInd w:val="0"/>
    </w:pPr>
    <w:rPr>
      <w:rFonts w:ascii="EC Square Sans Pro" w:hAnsi="EC Square Sans Pro" w:cs="EC Square Sans Pro"/>
      <w:color w:val="000000"/>
      <w:sz w:val="24"/>
      <w:szCs w:val="24"/>
    </w:rPr>
  </w:style>
  <w:style w:type="character" w:customStyle="1" w:styleId="A13">
    <w:name w:val="A13"/>
    <w:uiPriority w:val="99"/>
    <w:rsid w:val="00C23C49"/>
    <w:rPr>
      <w:rFonts w:ascii="EC Square Sans Pro Light" w:hAnsi="EC Square Sans Pro Light" w:cs="EC Square Sans Pro Light"/>
      <w:color w:val="000000"/>
      <w:sz w:val="18"/>
      <w:szCs w:val="18"/>
    </w:rPr>
  </w:style>
  <w:style w:type="character" w:customStyle="1" w:styleId="A15">
    <w:name w:val="A15"/>
    <w:uiPriority w:val="99"/>
    <w:rsid w:val="00C23C49"/>
    <w:rPr>
      <w:rFonts w:cs="EC Square Sans Pro Light"/>
      <w:color w:val="000000"/>
      <w:sz w:val="10"/>
      <w:szCs w:val="10"/>
    </w:rPr>
  </w:style>
  <w:style w:type="paragraph" w:styleId="FootnoteText">
    <w:name w:val="footnote text"/>
    <w:basedOn w:val="Normal"/>
    <w:link w:val="FootnoteTextChar"/>
    <w:rsid w:val="002E42E9"/>
    <w:rPr>
      <w:sz w:val="20"/>
      <w:szCs w:val="20"/>
    </w:rPr>
  </w:style>
  <w:style w:type="character" w:customStyle="1" w:styleId="FootnoteTextChar">
    <w:name w:val="Footnote Text Char"/>
    <w:basedOn w:val="DefaultParagraphFont"/>
    <w:link w:val="FootnoteText"/>
    <w:rsid w:val="002E42E9"/>
  </w:style>
  <w:style w:type="character" w:styleId="FootnoteReference">
    <w:name w:val="footnote reference"/>
    <w:rsid w:val="002E42E9"/>
    <w:rPr>
      <w:vertAlign w:val="superscript"/>
    </w:rPr>
  </w:style>
  <w:style w:type="table" w:styleId="TableGrid">
    <w:name w:val="Table Grid"/>
    <w:basedOn w:val="TableNormal"/>
    <w:rsid w:val="001A4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E96B12"/>
    <w:rPr>
      <w:sz w:val="20"/>
      <w:szCs w:val="20"/>
    </w:rPr>
  </w:style>
  <w:style w:type="character" w:customStyle="1" w:styleId="EndnoteTextChar">
    <w:name w:val="Endnote Text Char"/>
    <w:basedOn w:val="DefaultParagraphFont"/>
    <w:link w:val="EndnoteText"/>
    <w:rsid w:val="00E96B12"/>
  </w:style>
  <w:style w:type="character" w:styleId="EndnoteReference">
    <w:name w:val="endnote reference"/>
    <w:rsid w:val="00E96B12"/>
    <w:rPr>
      <w:vertAlign w:val="superscript"/>
    </w:rPr>
  </w:style>
  <w:style w:type="paragraph" w:customStyle="1" w:styleId="Text2">
    <w:name w:val="Text 2"/>
    <w:basedOn w:val="Normal"/>
    <w:rsid w:val="0087188E"/>
    <w:pPr>
      <w:keepNext/>
      <w:tabs>
        <w:tab w:val="left" w:pos="2161"/>
      </w:tabs>
      <w:spacing w:after="240"/>
      <w:ind w:left="1202"/>
      <w:jc w:val="both"/>
    </w:pPr>
    <w:rPr>
      <w:rFonts w:ascii="Verdana" w:hAnsi="Verdana"/>
      <w:snapToGrid w:val="0"/>
      <w:szCs w:val="20"/>
      <w:lang w:val="en-GB"/>
    </w:rPr>
  </w:style>
  <w:style w:type="character" w:styleId="CommentReference">
    <w:name w:val="annotation reference"/>
    <w:uiPriority w:val="99"/>
    <w:rsid w:val="009D1FD1"/>
    <w:rPr>
      <w:sz w:val="16"/>
      <w:szCs w:val="16"/>
    </w:rPr>
  </w:style>
  <w:style w:type="paragraph" w:styleId="CommentText">
    <w:name w:val="annotation text"/>
    <w:basedOn w:val="Normal"/>
    <w:link w:val="CommentTextChar"/>
    <w:rsid w:val="009D1FD1"/>
    <w:rPr>
      <w:sz w:val="20"/>
      <w:szCs w:val="20"/>
    </w:rPr>
  </w:style>
  <w:style w:type="character" w:customStyle="1" w:styleId="CommentTextChar">
    <w:name w:val="Comment Text Char"/>
    <w:basedOn w:val="DefaultParagraphFont"/>
    <w:link w:val="CommentText"/>
    <w:rsid w:val="009D1FD1"/>
  </w:style>
  <w:style w:type="paragraph" w:styleId="CommentSubject">
    <w:name w:val="annotation subject"/>
    <w:basedOn w:val="CommentText"/>
    <w:next w:val="CommentText"/>
    <w:link w:val="CommentSubjectChar"/>
    <w:rsid w:val="009D1FD1"/>
    <w:rPr>
      <w:b/>
      <w:bCs/>
    </w:rPr>
  </w:style>
  <w:style w:type="character" w:customStyle="1" w:styleId="CommentSubjectChar">
    <w:name w:val="Comment Subject Char"/>
    <w:link w:val="CommentSubject"/>
    <w:rsid w:val="009D1FD1"/>
    <w:rPr>
      <w:b/>
      <w:bCs/>
    </w:rPr>
  </w:style>
  <w:style w:type="paragraph" w:styleId="ListParagraph">
    <w:name w:val="List Paragraph"/>
    <w:aliases w:val="ERP-List Paragraph,List Paragraph11,Bullet EY,List Paragraph1,Normal bullet 2,Forth level,Bullet 1,Table of contents numbered,A_wyliczenie,K-P_odwolanie,Akapit z listą5,maz_wyliczenie,opis dzialania,Akapit z listą BS,Outlines a.b.c.,3,bu"/>
    <w:basedOn w:val="Normal"/>
    <w:link w:val="ListParagraphChar"/>
    <w:uiPriority w:val="34"/>
    <w:qFormat/>
    <w:rsid w:val="00DA151B"/>
    <w:pPr>
      <w:ind w:left="720"/>
    </w:pPr>
  </w:style>
  <w:style w:type="character" w:customStyle="1" w:styleId="ListParagraphChar">
    <w:name w:val="List Paragraph Char"/>
    <w:aliases w:val="ERP-List Paragraph Char,List Paragraph11 Char,Bullet EY Char,List Paragraph1 Char,Normal bullet 2 Char,Forth level Char,Bullet 1 Char,Table of contents numbered Char,A_wyliczenie Char,K-P_odwolanie Char,Akapit z listą5 Char,3 Char"/>
    <w:link w:val="ListParagraph"/>
    <w:uiPriority w:val="34"/>
    <w:qFormat/>
    <w:rsid w:val="007A5918"/>
    <w:rPr>
      <w:sz w:val="24"/>
      <w:szCs w:val="24"/>
    </w:rPr>
  </w:style>
  <w:style w:type="paragraph" w:styleId="Revision">
    <w:name w:val="Revision"/>
    <w:hidden/>
    <w:uiPriority w:val="99"/>
    <w:semiHidden/>
    <w:rsid w:val="0046633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0102073">
      <w:bodyDiv w:val="1"/>
      <w:marLeft w:val="0"/>
      <w:marRight w:val="0"/>
      <w:marTop w:val="0"/>
      <w:marBottom w:val="0"/>
      <w:divBdr>
        <w:top w:val="none" w:sz="0" w:space="0" w:color="auto"/>
        <w:left w:val="none" w:sz="0" w:space="0" w:color="auto"/>
        <w:bottom w:val="none" w:sz="0" w:space="0" w:color="auto"/>
        <w:right w:val="none" w:sz="0" w:space="0" w:color="auto"/>
      </w:divBdr>
    </w:div>
    <w:div w:id="1840852525">
      <w:bodyDiv w:val="1"/>
      <w:marLeft w:val="390"/>
      <w:marRight w:val="39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europa.eu/regional_policy/thefunds/fin_inst/pdf/simpl_cost_en.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C9F3F-D059-4D9A-93D2-01AC775CE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3557</Words>
  <Characters>19285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On the spot</vt:lpstr>
    </vt:vector>
  </TitlesOfParts>
  <Company>MIE</Company>
  <LinksUpToDate>false</LinksUpToDate>
  <CharactersWithSpaces>22797</CharactersWithSpaces>
  <SharedDoc>false</SharedDoc>
  <HLinks>
    <vt:vector size="6" baseType="variant">
      <vt:variant>
        <vt:i4>1572955</vt:i4>
      </vt:variant>
      <vt:variant>
        <vt:i4>0</vt:i4>
      </vt:variant>
      <vt:variant>
        <vt:i4>0</vt:i4>
      </vt:variant>
      <vt:variant>
        <vt:i4>5</vt:i4>
      </vt:variant>
      <vt:variant>
        <vt:lpwstr>http://ec.europa.eu/regional_policy/thefunds/fin_inst/pdf/simpl_cost_en.pdf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the spot</dc:title>
  <dc:subject/>
  <dc:creator>Anca Cioroboiu</dc:creator>
  <cp:keywords/>
  <cp:lastModifiedBy>Mariuca Carmaciu</cp:lastModifiedBy>
  <cp:revision>12</cp:revision>
  <cp:lastPrinted>2022-06-27T08:57:00Z</cp:lastPrinted>
  <dcterms:created xsi:type="dcterms:W3CDTF">2025-11-03T08:05:00Z</dcterms:created>
  <dcterms:modified xsi:type="dcterms:W3CDTF">2025-11-04T13:25:00Z</dcterms:modified>
</cp:coreProperties>
</file>